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20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业务开户申请表</w:t>
      </w:r>
    </w:p>
    <w:tbl>
      <w:tblPr>
        <w:tblStyle w:val="5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671"/>
        <w:gridCol w:w="1"/>
        <w:gridCol w:w="193"/>
        <w:gridCol w:w="1305"/>
        <w:gridCol w:w="565"/>
        <w:gridCol w:w="1020"/>
        <w:gridCol w:w="1186"/>
        <w:gridCol w:w="39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注册资本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法定代表人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实际控制人</w:t>
            </w:r>
          </w:p>
        </w:tc>
        <w:tc>
          <w:tcPr>
            <w:tcW w:w="3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公司类型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□期货公司风险管理公司（所属期货公司评级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□证券公司（评级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□产业客户（□生产型□贸易型□消费型□其他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）（税务等级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是否有大商所期货账户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是（期货客户号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是否为产业交易商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□是（板块：□农产品 □能源化工 □钢铁原燃料）□否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是否为衍生品交易商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邮寄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开户经办人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二、业务信息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□标准仓单/□非标仓单/□生猪场外交易/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基差交易/□商品互换/□场外期权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□标准仓单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□棕榈油□玉米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玉米淀粉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开户绑定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</w:t>
            </w:r>
          </w:p>
        </w:tc>
        <w:tc>
          <w:tcPr>
            <w:tcW w:w="31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纳税识别号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增值税发票中单位地址及开票电话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开户银行名称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及账号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专票领取方式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□非标仓单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□聚乙烯□聚氯乙烯□聚丙烯□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□铁矿石□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□玉米□豆一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□鸡蛋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0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□生猪场外交易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□养殖企业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□屠宰企业  □贸易企业  □期货公司风险管理公司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□基差交易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开通交易层次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交易商间交易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highlight w:val="none"/>
                <w:lang w:val="en-US" w:eastAsia="zh-CN" w:bidi="ar-SA"/>
              </w:rPr>
              <w:t xml:space="preserve">（默认须开通）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□交易商与客户交易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（万吨/年）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（亿元/年）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基差报价能力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开始规律性、持续性报价的时间（需附报价记录作为证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报价频率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报价途径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比如微信群、公众号、邮件、网站等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/>
              </w:rPr>
              <w:t>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焦煤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玉米淀粉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豆一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粳米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豆二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□衍生品交易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开通业务类型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□商品互换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客户填写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已签订场外衍生品协议的交易商名称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三、场外平台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用户注册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经办人员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姓名</w:t>
            </w: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（标仓/非标/基差/生猪交易/互换/期权）</w:t>
            </w: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权限类型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（全部/交易/财务）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四、承诺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本公司郑重承诺，本公司在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近十二个月经营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活动中，没有重大违法违规行为。若承诺内容与事实不符，我公司愿意承担由此产生的一切后果。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单位盖章：                         法定代表人或合法授权人签章：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2880" w:firstLineChars="1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申请日期：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5" w:h="16838"/>
      <w:pgMar w:top="2098" w:right="1587" w:bottom="1718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D03"/>
    <w:rsid w:val="00543018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EE60A44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CDD0-A2C9-4F34-A530-5EC6553C7ECF}"/>
</file>

<file path=customXml/itemProps2.xml><?xml version="1.0" encoding="utf-8"?>
<ds:datastoreItem xmlns:ds="http://schemas.openxmlformats.org/officeDocument/2006/customXml" ds:itemID="{C034CF2C-9A59-4CD1-B3C2-EFC54947C41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DC4EF80-AC92-4BF8-8547-AF64C4C76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gaixue</cp:lastModifiedBy>
  <cp:revision>1</cp:revision>
  <dcterms:created xsi:type="dcterms:W3CDTF">2020-08-17T00:41:00Z</dcterms:created>
  <dcterms:modified xsi:type="dcterms:W3CDTF">2022-06-08T01:00:43Z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