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96" w:rsidRPr="00E36496" w:rsidRDefault="00E36496" w:rsidP="00E36496">
      <w:pPr>
        <w:spacing w:line="580" w:lineRule="exact"/>
        <w:rPr>
          <w:rFonts w:eastAsia="仿宋_GB2312"/>
          <w:sz w:val="32"/>
          <w:szCs w:val="32"/>
        </w:rPr>
      </w:pPr>
    </w:p>
    <w:p w:rsidR="00E36496" w:rsidRDefault="00595AD9" w:rsidP="00E36496">
      <w:pPr>
        <w:pStyle w:val="1"/>
        <w:spacing w:before="0" w:after="0" w:line="580" w:lineRule="exact"/>
        <w:jc w:val="center"/>
        <w:rPr>
          <w:rFonts w:ascii="宋体" w:hAnsi="宋体"/>
          <w:sz w:val="40"/>
          <w:szCs w:val="40"/>
        </w:rPr>
      </w:pPr>
      <w:bookmarkStart w:id="0" w:name="_Toc275363166"/>
      <w:r w:rsidRPr="00E36496">
        <w:rPr>
          <w:rFonts w:ascii="宋体" w:hAnsi="宋体" w:hint="eastAsia"/>
          <w:sz w:val="40"/>
          <w:szCs w:val="40"/>
        </w:rPr>
        <w:t>大连商品交易所指定交割仓库年审</w:t>
      </w:r>
      <w:bookmarkEnd w:id="0"/>
    </w:p>
    <w:p w:rsidR="00595AD9" w:rsidRPr="00E36496" w:rsidRDefault="00595AD9" w:rsidP="00E36496">
      <w:pPr>
        <w:pStyle w:val="1"/>
        <w:spacing w:before="0" w:after="0" w:line="580" w:lineRule="exact"/>
        <w:jc w:val="center"/>
        <w:rPr>
          <w:rFonts w:ascii="宋体" w:hAnsi="宋体"/>
          <w:sz w:val="40"/>
          <w:szCs w:val="40"/>
        </w:rPr>
      </w:pPr>
      <w:r w:rsidRPr="00E36496">
        <w:rPr>
          <w:rFonts w:ascii="宋体" w:hAnsi="宋体" w:hint="eastAsia"/>
          <w:sz w:val="40"/>
          <w:szCs w:val="40"/>
        </w:rPr>
        <w:t>及等级评定工作办法</w:t>
      </w:r>
    </w:p>
    <w:p w:rsidR="00595AD9" w:rsidRDefault="00595AD9" w:rsidP="00E36496">
      <w:pPr>
        <w:spacing w:line="580" w:lineRule="exact"/>
        <w:ind w:firstLineChars="200" w:firstLine="600"/>
        <w:jc w:val="center"/>
        <w:rPr>
          <w:rFonts w:ascii="仿宋_GB2312" w:eastAsia="仿宋_GB2312" w:hAnsi="仿宋"/>
          <w:sz w:val="30"/>
          <w:szCs w:val="30"/>
        </w:rPr>
      </w:pPr>
    </w:p>
    <w:p w:rsidR="00595AD9" w:rsidRPr="00E36496" w:rsidRDefault="00595AD9" w:rsidP="00E36496">
      <w:pPr>
        <w:pStyle w:val="161"/>
        <w:numPr>
          <w:ilvl w:val="0"/>
          <w:numId w:val="17"/>
        </w:numPr>
        <w:wordWrap/>
        <w:snapToGrid w:val="0"/>
        <w:spacing w:before="0" w:beforeAutospacing="0" w:after="0" w:afterAutospacing="0" w:line="580" w:lineRule="exact"/>
        <w:ind w:firstLine="0"/>
        <w:jc w:val="center"/>
        <w:rPr>
          <w:rFonts w:ascii="Times New Roman" w:eastAsia="仿宋_GB2312" w:hAnsi="Times New Roman" w:cs="Times New Roman"/>
          <w:b/>
          <w:sz w:val="32"/>
          <w:szCs w:val="32"/>
        </w:rPr>
      </w:pPr>
      <w:r w:rsidRPr="00E36496">
        <w:rPr>
          <w:rFonts w:ascii="Times New Roman" w:eastAsia="仿宋_GB2312" w:hAnsi="Times New Roman" w:cs="Times New Roman"/>
          <w:b/>
          <w:sz w:val="32"/>
          <w:szCs w:val="32"/>
        </w:rPr>
        <w:t>总</w:t>
      </w:r>
      <w:r w:rsidRPr="00E36496">
        <w:rPr>
          <w:rFonts w:ascii="Times New Roman" w:eastAsia="仿宋_GB2312" w:hAnsi="Times New Roman" w:cs="Times New Roman"/>
          <w:b/>
          <w:sz w:val="32"/>
          <w:szCs w:val="32"/>
        </w:rPr>
        <w:t xml:space="preserve"> </w:t>
      </w:r>
      <w:r w:rsidRPr="00E36496">
        <w:rPr>
          <w:rFonts w:ascii="Times New Roman" w:eastAsia="仿宋_GB2312" w:hAnsi="Times New Roman" w:cs="Times New Roman"/>
          <w:b/>
          <w:sz w:val="32"/>
          <w:szCs w:val="32"/>
        </w:rPr>
        <w:t>则</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为加强大连商品交易所（以下简称交易所）指定交割仓库的监督管理，提高服务水平，根据交易所章程、交易规则及《大连商品交易所指定交割仓库管理办法》等业务规则，制定本办法。</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年审是指交易所采取查阅、复制文件或资料、查验原件、谈话及询问等多种方式，每年对审查对象进行的监督检查行为。</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等级评定是指交易所以指定交割仓库的资质条件、日常管理合规及功能发挥</w:t>
      </w:r>
      <w:r w:rsidR="00723619">
        <w:rPr>
          <w:rFonts w:ascii="Times New Roman" w:eastAsia="仿宋_GB2312" w:hAnsi="Times New Roman" w:hint="eastAsia"/>
          <w:sz w:val="32"/>
          <w:szCs w:val="32"/>
        </w:rPr>
        <w:t>和市场满意度</w:t>
      </w:r>
      <w:r w:rsidRPr="00E36496">
        <w:rPr>
          <w:rFonts w:ascii="Times New Roman" w:eastAsia="仿宋_GB2312" w:hAnsi="Times New Roman"/>
          <w:sz w:val="32"/>
          <w:szCs w:val="32"/>
        </w:rPr>
        <w:t>情况为基础，每年按照本办法评定指定交割仓库等级的行为。本办法所称审查对象是指交易所选定的指定交割仓库。交易所每年应对所有指定交割仓库开展年审一次。</w:t>
      </w:r>
    </w:p>
    <w:p w:rsidR="00595AD9" w:rsidRPr="00E36496" w:rsidRDefault="00595AD9" w:rsidP="00E36496">
      <w:pPr>
        <w:pStyle w:val="161"/>
        <w:wordWrap/>
        <w:snapToGrid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p>
    <w:p w:rsidR="00595AD9" w:rsidRPr="00E36496" w:rsidRDefault="00595AD9" w:rsidP="00E36496">
      <w:pPr>
        <w:pStyle w:val="161"/>
        <w:numPr>
          <w:ilvl w:val="0"/>
          <w:numId w:val="17"/>
        </w:numPr>
        <w:wordWrap/>
        <w:snapToGrid w:val="0"/>
        <w:spacing w:before="0" w:beforeAutospacing="0" w:after="0" w:afterAutospacing="0" w:line="580" w:lineRule="exact"/>
        <w:ind w:firstLine="0"/>
        <w:jc w:val="center"/>
        <w:rPr>
          <w:rFonts w:ascii="Times New Roman" w:eastAsia="仿宋_GB2312" w:hAnsi="Times New Roman" w:cs="Times New Roman"/>
          <w:b/>
          <w:sz w:val="32"/>
          <w:szCs w:val="32"/>
        </w:rPr>
      </w:pPr>
      <w:r w:rsidRPr="00E36496">
        <w:rPr>
          <w:rFonts w:ascii="Times New Roman" w:eastAsia="仿宋_GB2312" w:hAnsi="Times New Roman" w:cs="Times New Roman"/>
          <w:b/>
          <w:sz w:val="32"/>
          <w:szCs w:val="32"/>
        </w:rPr>
        <w:t>年审材料</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审查对象应当提供以下主体资格证明材料：</w:t>
      </w:r>
    </w:p>
    <w:p w:rsidR="00595AD9" w:rsidRPr="00E36496" w:rsidRDefault="00595AD9" w:rsidP="00E36496">
      <w:pPr>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（一）营业执照（副本）复印件，加盖审查对象公章；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（二）税务登记证（副本）复印件，加盖审查对象公章；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lastRenderedPageBreak/>
        <w:t>（三）组织机构代码证（副本）复印件，加盖审查对象公章。</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kern w:val="0"/>
          <w:sz w:val="32"/>
          <w:szCs w:val="32"/>
        </w:rPr>
        <w:t>审查对象应当提供以下</w:t>
      </w:r>
      <w:r w:rsidRPr="00E36496">
        <w:rPr>
          <w:rFonts w:ascii="Times New Roman" w:eastAsia="仿宋_GB2312" w:hAnsi="Times New Roman"/>
          <w:sz w:val="32"/>
          <w:szCs w:val="32"/>
        </w:rPr>
        <w:t>财务状况证明材料：</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（一）会计师事务所或交易所认可的审计部门出具的上一年度审计报告原件</w:t>
      </w:r>
      <w:r w:rsidR="00693F6B">
        <w:rPr>
          <w:rFonts w:eastAsia="仿宋_GB2312" w:hint="eastAsia"/>
          <w:kern w:val="0"/>
          <w:sz w:val="32"/>
          <w:szCs w:val="32"/>
        </w:rPr>
        <w:t>，</w:t>
      </w:r>
      <w:r w:rsidRPr="00E36496">
        <w:rPr>
          <w:rFonts w:eastAsia="仿宋_GB2312"/>
          <w:kern w:val="0"/>
          <w:sz w:val="32"/>
          <w:szCs w:val="32"/>
        </w:rPr>
        <w:t>或加盖审查对象公章的审计报告复印件，新设立企业应当提供加盖审查对象公章的验资报告复印件；</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审查对象为企业集团母公司的，审计报告中所列已审会计报表应当包括母公司的个别会计报表和企业集团的合并会计报表；</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（二）</w:t>
      </w:r>
      <w:r w:rsidR="00005FD9" w:rsidRPr="005D0742">
        <w:rPr>
          <w:rFonts w:eastAsia="仿宋_GB2312"/>
          <w:kern w:val="0"/>
          <w:sz w:val="32"/>
          <w:szCs w:val="32"/>
        </w:rPr>
        <w:t>工商行政管理部门出具的工商查询卡或交易所认可的国家行政管理部门出具的最新股东情况说明</w:t>
      </w:r>
      <w:r w:rsidRPr="005D0742">
        <w:rPr>
          <w:rFonts w:eastAsia="仿宋_GB2312"/>
          <w:kern w:val="0"/>
          <w:sz w:val="32"/>
          <w:szCs w:val="32"/>
        </w:rPr>
        <w:t>；</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kern w:val="0"/>
          <w:sz w:val="32"/>
          <w:szCs w:val="32"/>
        </w:rPr>
        <w:t>审查对象应当提供以下仓储设施的</w:t>
      </w:r>
      <w:r w:rsidRPr="00E36496">
        <w:rPr>
          <w:rFonts w:ascii="Times New Roman" w:eastAsia="仿宋_GB2312" w:hAnsi="Times New Roman"/>
          <w:sz w:val="32"/>
          <w:szCs w:val="32"/>
        </w:rPr>
        <w:t>证明材料：</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（一）土地、房产等相关证明材料（包括土地证和房产证的记事栏或附记）或租赁协议等相关文件的复印件，加盖审查对象公章；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（二）土地、房产、仓储设施、其他资产等是否存在担保以及担保金额的说明，加盖审查对象公章；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（三）有铁路（码头）专用线的</w:t>
      </w:r>
      <w:r w:rsidR="005D2625">
        <w:rPr>
          <w:rFonts w:eastAsia="仿宋_GB2312" w:hint="eastAsia"/>
          <w:kern w:val="0"/>
          <w:sz w:val="32"/>
          <w:szCs w:val="32"/>
        </w:rPr>
        <w:t>，</w:t>
      </w:r>
      <w:r w:rsidRPr="00E36496">
        <w:rPr>
          <w:rFonts w:eastAsia="仿宋_GB2312"/>
          <w:kern w:val="0"/>
          <w:sz w:val="32"/>
          <w:szCs w:val="32"/>
        </w:rPr>
        <w:t>提供铁路（码头）专用线使用证明的复印件，加盖审查对象公章；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（四）消防安全证明的复印件，加盖审查对象公章；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（五）计量检验部门颁发的交割商品检重设备（汽车衡、油罐等）年度检定合格证书复印件，加盖审查对象公章；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lastRenderedPageBreak/>
        <w:t>（六）仓库须提交参加商业保险的《保险单》及保险标的清单的复印件，加盖审查对象公章。</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审查对象应当提交自查报告，自查报告应当包括以下内容：</w:t>
      </w:r>
    </w:p>
    <w:p w:rsidR="00595AD9" w:rsidRPr="005D0742" w:rsidRDefault="00E31899" w:rsidP="005D0742">
      <w:pPr>
        <w:widowControl/>
        <w:spacing w:line="580" w:lineRule="exact"/>
        <w:ind w:firstLineChars="200" w:firstLine="640"/>
        <w:rPr>
          <w:rFonts w:eastAsia="仿宋_GB2312"/>
          <w:sz w:val="32"/>
          <w:szCs w:val="32"/>
        </w:rPr>
      </w:pPr>
      <w:r w:rsidRPr="005D0742">
        <w:rPr>
          <w:rFonts w:eastAsia="仿宋_GB2312" w:hint="eastAsia"/>
          <w:kern w:val="0"/>
          <w:sz w:val="32"/>
          <w:szCs w:val="32"/>
        </w:rPr>
        <w:t>（一）</w:t>
      </w:r>
      <w:r w:rsidR="00595AD9" w:rsidRPr="005D0742">
        <w:rPr>
          <w:rFonts w:eastAsia="仿宋_GB2312"/>
          <w:kern w:val="0"/>
          <w:sz w:val="32"/>
          <w:szCs w:val="32"/>
        </w:rPr>
        <w:t>基本情况，包括企业性质、注册资本、净资产、股权结构</w:t>
      </w:r>
      <w:r w:rsidR="00595AD9" w:rsidRPr="005D0742">
        <w:rPr>
          <w:rFonts w:eastAsia="仿宋_GB2312"/>
          <w:sz w:val="32"/>
          <w:szCs w:val="32"/>
        </w:rPr>
        <w:t>、实际控制人等；以上情况与获得指定交割仓库资格或前次年审时相比，是否发生变化，发生变化的，说明具体变化情况；</w:t>
      </w:r>
    </w:p>
    <w:p w:rsidR="00595AD9" w:rsidRPr="005D0742" w:rsidRDefault="00E31899" w:rsidP="005D0742">
      <w:pPr>
        <w:widowControl/>
        <w:spacing w:line="580" w:lineRule="exact"/>
        <w:ind w:firstLineChars="200" w:firstLine="640"/>
        <w:rPr>
          <w:rFonts w:eastAsia="仿宋_GB2312"/>
          <w:kern w:val="0"/>
          <w:sz w:val="32"/>
          <w:szCs w:val="32"/>
        </w:rPr>
      </w:pPr>
      <w:r w:rsidRPr="005D0742">
        <w:rPr>
          <w:rFonts w:eastAsia="仿宋_GB2312" w:hint="eastAsia"/>
          <w:kern w:val="0"/>
          <w:sz w:val="32"/>
          <w:szCs w:val="32"/>
        </w:rPr>
        <w:t>（二）</w:t>
      </w:r>
      <w:r w:rsidR="00595AD9" w:rsidRPr="005D0742">
        <w:rPr>
          <w:rFonts w:eastAsia="仿宋_GB2312"/>
          <w:kern w:val="0"/>
          <w:sz w:val="32"/>
          <w:szCs w:val="32"/>
        </w:rPr>
        <w:t>担保单位基本情况，包括企业性质、注册资本、净资产、股权结构</w:t>
      </w:r>
      <w:r w:rsidR="00595AD9" w:rsidRPr="005D0742">
        <w:rPr>
          <w:rFonts w:eastAsia="仿宋_GB2312"/>
          <w:sz w:val="32"/>
          <w:szCs w:val="32"/>
        </w:rPr>
        <w:t>、实际控制人等；以上情况与获得指定交割仓库资格或前次年审时相比，是否发生变化，发生变化的，说明具体变化情况；</w:t>
      </w:r>
    </w:p>
    <w:p w:rsidR="00595AD9" w:rsidRPr="005D0742" w:rsidRDefault="00E31899" w:rsidP="005D0742">
      <w:pPr>
        <w:widowControl/>
        <w:spacing w:line="580" w:lineRule="exact"/>
        <w:ind w:firstLineChars="200" w:firstLine="640"/>
        <w:rPr>
          <w:rFonts w:eastAsia="仿宋_GB2312"/>
          <w:kern w:val="0"/>
          <w:sz w:val="32"/>
          <w:szCs w:val="32"/>
        </w:rPr>
      </w:pPr>
      <w:r w:rsidRPr="005D0742">
        <w:rPr>
          <w:rFonts w:eastAsia="仿宋_GB2312" w:hint="eastAsia"/>
          <w:sz w:val="32"/>
          <w:szCs w:val="32"/>
        </w:rPr>
        <w:t>（三）</w:t>
      </w:r>
      <w:r w:rsidR="00595AD9" w:rsidRPr="005D0742">
        <w:rPr>
          <w:rFonts w:eastAsia="仿宋_GB2312"/>
          <w:sz w:val="32"/>
          <w:szCs w:val="32"/>
        </w:rPr>
        <w:t>库容或生产能力是否发生变化，发生变化的，说明具体变化情况；</w:t>
      </w:r>
    </w:p>
    <w:p w:rsidR="00595AD9" w:rsidRPr="005D0742" w:rsidRDefault="00E31899" w:rsidP="005D0742">
      <w:pPr>
        <w:widowControl/>
        <w:spacing w:line="580" w:lineRule="exact"/>
        <w:ind w:firstLineChars="200" w:firstLine="640"/>
        <w:rPr>
          <w:rFonts w:eastAsia="仿宋_GB2312"/>
          <w:kern w:val="0"/>
          <w:sz w:val="32"/>
          <w:szCs w:val="32"/>
        </w:rPr>
      </w:pPr>
      <w:r w:rsidRPr="005D0742">
        <w:rPr>
          <w:rFonts w:eastAsia="仿宋_GB2312" w:hint="eastAsia"/>
          <w:kern w:val="0"/>
          <w:sz w:val="32"/>
          <w:szCs w:val="32"/>
        </w:rPr>
        <w:t>（四）</w:t>
      </w:r>
      <w:r w:rsidR="00595AD9" w:rsidRPr="005D0742">
        <w:rPr>
          <w:rFonts w:eastAsia="仿宋_GB2312"/>
          <w:kern w:val="0"/>
          <w:sz w:val="32"/>
          <w:szCs w:val="32"/>
        </w:rPr>
        <w:t>运输、装卸、计量、检验能力等是否发生变化，发生变化的，说明具体变化情况；</w:t>
      </w:r>
    </w:p>
    <w:p w:rsidR="00595AD9" w:rsidRPr="005D0742" w:rsidRDefault="00E31899" w:rsidP="005D0742">
      <w:pPr>
        <w:widowControl/>
        <w:spacing w:line="580" w:lineRule="exact"/>
        <w:ind w:firstLineChars="200" w:firstLine="640"/>
        <w:rPr>
          <w:rFonts w:eastAsia="仿宋_GB2312"/>
          <w:kern w:val="0"/>
          <w:sz w:val="32"/>
          <w:szCs w:val="32"/>
        </w:rPr>
      </w:pPr>
      <w:r w:rsidRPr="005D0742">
        <w:rPr>
          <w:rFonts w:eastAsia="仿宋_GB2312" w:hint="eastAsia"/>
          <w:sz w:val="32"/>
          <w:szCs w:val="32"/>
        </w:rPr>
        <w:t>（五）</w:t>
      </w:r>
      <w:r w:rsidR="00595AD9" w:rsidRPr="005D0742">
        <w:rPr>
          <w:rFonts w:eastAsia="仿宋_GB2312"/>
          <w:sz w:val="32"/>
          <w:szCs w:val="32"/>
        </w:rPr>
        <w:t>库区租赁情况（适用于仓库），包括土地使用权人、库房或生产线所有者、是否租赁、租赁方式、租赁期限等；以上情况与获得指定交割仓库资格或前次年审时相比，是否发生变化，发生变化的，说明具体变化情况；</w:t>
      </w:r>
    </w:p>
    <w:p w:rsidR="00595AD9" w:rsidRPr="005D0742" w:rsidRDefault="00E31899" w:rsidP="005D0742">
      <w:pPr>
        <w:widowControl/>
        <w:spacing w:line="580" w:lineRule="exact"/>
        <w:ind w:firstLineChars="200" w:firstLine="640"/>
        <w:rPr>
          <w:rFonts w:eastAsia="仿宋_GB2312"/>
          <w:kern w:val="0"/>
          <w:sz w:val="32"/>
          <w:szCs w:val="32"/>
        </w:rPr>
      </w:pPr>
      <w:r w:rsidRPr="005D0742">
        <w:rPr>
          <w:rFonts w:eastAsia="仿宋_GB2312" w:hint="eastAsia"/>
          <w:sz w:val="32"/>
          <w:szCs w:val="32"/>
        </w:rPr>
        <w:t>（六）</w:t>
      </w:r>
      <w:r w:rsidR="00595AD9" w:rsidRPr="005D0742">
        <w:rPr>
          <w:rFonts w:eastAsia="仿宋_GB2312"/>
          <w:sz w:val="32"/>
          <w:szCs w:val="32"/>
        </w:rPr>
        <w:t>资产担保情况，包括</w:t>
      </w:r>
      <w:r w:rsidR="00595AD9" w:rsidRPr="005D0742">
        <w:rPr>
          <w:rFonts w:eastAsia="仿宋_GB2312"/>
          <w:kern w:val="0"/>
          <w:sz w:val="32"/>
          <w:szCs w:val="32"/>
        </w:rPr>
        <w:t>土地、房产、仓储设施、其他资产等是否存在担保以及担保金额的说明；</w:t>
      </w:r>
      <w:r w:rsidR="00595AD9" w:rsidRPr="005D0742">
        <w:rPr>
          <w:rFonts w:eastAsia="仿宋_GB2312"/>
          <w:sz w:val="32"/>
          <w:szCs w:val="32"/>
        </w:rPr>
        <w:t>以上情况与获得指</w:t>
      </w:r>
      <w:r w:rsidR="00595AD9" w:rsidRPr="005D0742">
        <w:rPr>
          <w:rFonts w:eastAsia="仿宋_GB2312"/>
          <w:sz w:val="32"/>
          <w:szCs w:val="32"/>
        </w:rPr>
        <w:lastRenderedPageBreak/>
        <w:t>定交割仓库资格或前次年审时相比，是否发生变化，发生变化的，说明具体变化情况；</w:t>
      </w:r>
    </w:p>
    <w:p w:rsidR="00595AD9" w:rsidRPr="00E36496" w:rsidRDefault="00E31899" w:rsidP="005D0742">
      <w:pPr>
        <w:widowControl/>
        <w:spacing w:line="580" w:lineRule="exact"/>
        <w:ind w:firstLineChars="200" w:firstLine="640"/>
        <w:rPr>
          <w:rFonts w:eastAsia="仿宋_GB2312"/>
          <w:kern w:val="0"/>
          <w:sz w:val="32"/>
          <w:szCs w:val="32"/>
        </w:rPr>
      </w:pPr>
      <w:r w:rsidRPr="005D0742">
        <w:rPr>
          <w:rFonts w:eastAsia="仿宋_GB2312" w:hint="eastAsia"/>
          <w:sz w:val="32"/>
          <w:szCs w:val="32"/>
        </w:rPr>
        <w:t>（七）</w:t>
      </w:r>
      <w:r w:rsidR="00595AD9" w:rsidRPr="005D0742">
        <w:rPr>
          <w:rFonts w:eastAsia="仿宋_GB2312"/>
          <w:sz w:val="32"/>
          <w:szCs w:val="32"/>
        </w:rPr>
        <w:t>期货交割业务开展情况，遵守法律法规、期货业务规则及交易所规定情况。</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kern w:val="0"/>
          <w:sz w:val="32"/>
          <w:szCs w:val="32"/>
        </w:rPr>
        <w:t>审查对象</w:t>
      </w:r>
      <w:r w:rsidRPr="00E36496">
        <w:rPr>
          <w:rFonts w:ascii="Times New Roman" w:eastAsia="仿宋_GB2312" w:hAnsi="Times New Roman"/>
          <w:sz w:val="32"/>
          <w:szCs w:val="32"/>
        </w:rPr>
        <w:t>担保单位应当提交以下证明材料：</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（一）营业执照（副本）复印件，加盖担保单位公章；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（二）税务登记证（副本）复印件，加盖担保单位公章；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（三）组织机构代码证（副本）复印件，加盖担保单位公章；</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（四）会计师事务所或交易所认可的审计部门出具的上一年度审计报告原件</w:t>
      </w:r>
      <w:r w:rsidR="00797973">
        <w:rPr>
          <w:rFonts w:eastAsia="仿宋_GB2312" w:hint="eastAsia"/>
          <w:kern w:val="0"/>
          <w:sz w:val="32"/>
          <w:szCs w:val="32"/>
        </w:rPr>
        <w:t>，</w:t>
      </w:r>
      <w:r w:rsidRPr="00E36496">
        <w:rPr>
          <w:rFonts w:eastAsia="仿宋_GB2312"/>
          <w:kern w:val="0"/>
          <w:sz w:val="32"/>
          <w:szCs w:val="32"/>
        </w:rPr>
        <w:t>或加盖担保单位公章的审计报告复印件，新设立企业应当提供加盖担保单位公章的验资报告复印件；</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担保单位为企业集团母公司的，审计报告中所列已审会计报表应当包括母公司的个别会计报表和企业集团的合并会计报表；</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（五）工商行政管理部门出具的工商查询卡或交易所认可的国家行政管理部门出具的最新股东情况说明；</w:t>
      </w:r>
    </w:p>
    <w:p w:rsidR="00595AD9" w:rsidRPr="00E36496" w:rsidRDefault="00595AD9" w:rsidP="00E36496">
      <w:pPr>
        <w:widowControl/>
        <w:tabs>
          <w:tab w:val="num" w:pos="601"/>
        </w:tabs>
        <w:spacing w:line="580" w:lineRule="exact"/>
        <w:ind w:firstLineChars="200" w:firstLine="640"/>
        <w:rPr>
          <w:rFonts w:eastAsia="仿宋_GB2312"/>
          <w:kern w:val="0"/>
          <w:sz w:val="32"/>
          <w:szCs w:val="32"/>
        </w:rPr>
      </w:pPr>
      <w:r w:rsidRPr="00E36496">
        <w:rPr>
          <w:rFonts w:eastAsia="仿宋_GB2312"/>
          <w:kern w:val="0"/>
          <w:sz w:val="32"/>
          <w:szCs w:val="32"/>
        </w:rPr>
        <w:t>（六）担保单位与审查对象关系以及所占股份的情况说明，加盖双方公章并由双方法定代表人签字。</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审查对象及其担保单位应当</w:t>
      </w:r>
      <w:r w:rsidRPr="00E36496">
        <w:rPr>
          <w:rFonts w:ascii="Times New Roman" w:eastAsia="仿宋_GB2312" w:hAnsi="Times New Roman"/>
          <w:kern w:val="0"/>
          <w:sz w:val="32"/>
          <w:szCs w:val="32"/>
        </w:rPr>
        <w:t>提交交易所要求的其他证明材料。</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审查对象及其担保单位所提供的信息，应当真实、</w:t>
      </w:r>
      <w:r w:rsidRPr="00E36496">
        <w:rPr>
          <w:rFonts w:ascii="Times New Roman" w:eastAsia="仿宋_GB2312" w:hAnsi="Times New Roman"/>
          <w:sz w:val="32"/>
          <w:szCs w:val="32"/>
        </w:rPr>
        <w:lastRenderedPageBreak/>
        <w:t>准确、完整，不得有虚假记载、误导性陈述或者重大遗漏。</w:t>
      </w:r>
    </w:p>
    <w:p w:rsidR="00595AD9" w:rsidRPr="00E36496" w:rsidRDefault="00595AD9" w:rsidP="00E36496">
      <w:pPr>
        <w:pStyle w:val="161"/>
        <w:wordWrap/>
        <w:snapToGrid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p>
    <w:p w:rsidR="00595AD9" w:rsidRPr="00E36496" w:rsidRDefault="00595AD9" w:rsidP="00E36496">
      <w:pPr>
        <w:pStyle w:val="161"/>
        <w:numPr>
          <w:ilvl w:val="0"/>
          <w:numId w:val="17"/>
        </w:numPr>
        <w:wordWrap/>
        <w:snapToGrid w:val="0"/>
        <w:spacing w:before="0" w:beforeAutospacing="0" w:after="0" w:afterAutospacing="0" w:line="580" w:lineRule="exact"/>
        <w:ind w:firstLineChars="200" w:firstLine="643"/>
        <w:jc w:val="center"/>
        <w:rPr>
          <w:rFonts w:ascii="Times New Roman" w:eastAsia="仿宋_GB2312" w:hAnsi="Times New Roman" w:cs="Times New Roman"/>
          <w:b/>
          <w:sz w:val="32"/>
          <w:szCs w:val="32"/>
        </w:rPr>
      </w:pPr>
      <w:r w:rsidRPr="00E36496">
        <w:rPr>
          <w:rFonts w:ascii="Times New Roman" w:eastAsia="仿宋_GB2312" w:hAnsi="Times New Roman" w:cs="Times New Roman"/>
          <w:b/>
          <w:sz w:val="32"/>
          <w:szCs w:val="32"/>
        </w:rPr>
        <w:t>年审程序</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指定交割仓库的年审工作由年审工作小组负责。</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交易所对各指定交割仓库年审的周期应当符合中国证监会的要求。</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交易所向</w:t>
      </w:r>
      <w:r w:rsidRPr="00E36496">
        <w:rPr>
          <w:rFonts w:ascii="Times New Roman" w:eastAsia="仿宋_GB2312" w:hAnsi="Times New Roman"/>
          <w:kern w:val="0"/>
          <w:sz w:val="32"/>
          <w:szCs w:val="32"/>
        </w:rPr>
        <w:t>审查对象</w:t>
      </w:r>
      <w:r w:rsidRPr="00E36496">
        <w:rPr>
          <w:rFonts w:ascii="Times New Roman" w:eastAsia="仿宋_GB2312" w:hAnsi="Times New Roman"/>
          <w:sz w:val="32"/>
          <w:szCs w:val="32"/>
        </w:rPr>
        <w:t>发布年审通知，审查对象应当在交易所规定的时间内提交相关材料。</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交易所对</w:t>
      </w:r>
      <w:r w:rsidRPr="00E36496">
        <w:rPr>
          <w:rFonts w:ascii="Times New Roman" w:eastAsia="仿宋_GB2312" w:hAnsi="Times New Roman"/>
          <w:kern w:val="0"/>
          <w:sz w:val="32"/>
          <w:szCs w:val="32"/>
        </w:rPr>
        <w:t>审查对象</w:t>
      </w:r>
      <w:r w:rsidRPr="00E36496">
        <w:rPr>
          <w:rFonts w:ascii="Times New Roman" w:eastAsia="仿宋_GB2312" w:hAnsi="Times New Roman"/>
          <w:sz w:val="32"/>
          <w:szCs w:val="32"/>
        </w:rPr>
        <w:t>提交的材料进行审核。交易所认为必要时，可以要求</w:t>
      </w:r>
      <w:r w:rsidRPr="00E36496">
        <w:rPr>
          <w:rFonts w:ascii="Times New Roman" w:eastAsia="仿宋_GB2312" w:hAnsi="Times New Roman"/>
          <w:kern w:val="0"/>
          <w:sz w:val="32"/>
          <w:szCs w:val="32"/>
        </w:rPr>
        <w:t>审查对象</w:t>
      </w:r>
      <w:r w:rsidRPr="00E36496">
        <w:rPr>
          <w:rFonts w:ascii="Times New Roman" w:eastAsia="仿宋_GB2312" w:hAnsi="Times New Roman"/>
          <w:sz w:val="32"/>
          <w:szCs w:val="32"/>
        </w:rPr>
        <w:t>提交相关材料原件，以进行比照核查。</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交易所根据《大连商品交易所指定交割仓库资格审核工作办法》的相关规定，就</w:t>
      </w:r>
      <w:r w:rsidRPr="00E36496">
        <w:rPr>
          <w:rFonts w:ascii="Times New Roman" w:eastAsia="仿宋_GB2312" w:hAnsi="Times New Roman"/>
          <w:kern w:val="0"/>
          <w:sz w:val="32"/>
          <w:szCs w:val="32"/>
        </w:rPr>
        <w:t>审查对象</w:t>
      </w:r>
      <w:r w:rsidRPr="00E36496">
        <w:rPr>
          <w:rFonts w:ascii="Times New Roman" w:eastAsia="仿宋_GB2312" w:hAnsi="Times New Roman"/>
          <w:sz w:val="32"/>
          <w:szCs w:val="32"/>
        </w:rPr>
        <w:t>的资质风险情况进行评议，出具符合要求或不符合要求的年审意见。</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所有指定交割仓库的年审底稿均应由年审人员、年审工作小组组长签字确认，并妥善保管年审材料至少</w:t>
      </w:r>
      <w:r w:rsidR="00C75D09">
        <w:rPr>
          <w:rFonts w:ascii="Times New Roman" w:eastAsia="仿宋_GB2312" w:hAnsi="Times New Roman" w:hint="eastAsia"/>
          <w:sz w:val="32"/>
          <w:szCs w:val="32"/>
        </w:rPr>
        <w:t>5</w:t>
      </w:r>
      <w:r w:rsidRPr="00E36496">
        <w:rPr>
          <w:rFonts w:ascii="Times New Roman" w:eastAsia="仿宋_GB2312" w:hAnsi="Times New Roman"/>
          <w:sz w:val="32"/>
          <w:szCs w:val="32"/>
        </w:rPr>
        <w:t>年。</w:t>
      </w:r>
    </w:p>
    <w:p w:rsidR="00595AD9" w:rsidRPr="00E36496" w:rsidRDefault="00595AD9" w:rsidP="00E36496">
      <w:pPr>
        <w:pStyle w:val="161"/>
        <w:wordWrap/>
        <w:snapToGrid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p>
    <w:p w:rsidR="00595AD9" w:rsidRPr="00E36496" w:rsidRDefault="00595AD9" w:rsidP="00E36496">
      <w:pPr>
        <w:pStyle w:val="161"/>
        <w:numPr>
          <w:ilvl w:val="0"/>
          <w:numId w:val="17"/>
        </w:numPr>
        <w:wordWrap/>
        <w:snapToGrid w:val="0"/>
        <w:spacing w:before="0" w:beforeAutospacing="0" w:after="0" w:afterAutospacing="0" w:line="580" w:lineRule="exact"/>
        <w:ind w:firstLineChars="200" w:firstLine="643"/>
        <w:jc w:val="center"/>
        <w:rPr>
          <w:rFonts w:ascii="Times New Roman" w:eastAsia="仿宋_GB2312" w:hAnsi="Times New Roman" w:cs="Times New Roman"/>
          <w:b/>
          <w:sz w:val="32"/>
          <w:szCs w:val="32"/>
        </w:rPr>
      </w:pPr>
      <w:r w:rsidRPr="00E36496">
        <w:rPr>
          <w:rFonts w:ascii="Times New Roman" w:eastAsia="仿宋_GB2312" w:hAnsi="Times New Roman" w:cs="Times New Roman"/>
          <w:b/>
          <w:sz w:val="32"/>
          <w:szCs w:val="32"/>
        </w:rPr>
        <w:t>等级评定指标及方法</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交易所对指定交割仓库进行评价计分，根据指定交割仓库资质条件、日常管理合规及功能发挥</w:t>
      </w:r>
      <w:r w:rsidR="00723619">
        <w:rPr>
          <w:rFonts w:ascii="Times New Roman" w:eastAsia="仿宋_GB2312" w:hAnsi="Times New Roman" w:hint="eastAsia"/>
          <w:sz w:val="32"/>
          <w:szCs w:val="32"/>
        </w:rPr>
        <w:t>和市场满意度</w:t>
      </w:r>
      <w:r w:rsidRPr="00E36496">
        <w:rPr>
          <w:rFonts w:ascii="Times New Roman" w:eastAsia="仿宋_GB2312" w:hAnsi="Times New Roman"/>
          <w:sz w:val="32"/>
          <w:szCs w:val="32"/>
        </w:rPr>
        <w:t>情况，将相应指标得分加总即为指定交割仓库等级评定最终计分。</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指定交割仓库资质条件主要依据年审情况来评</w:t>
      </w:r>
      <w:r w:rsidRPr="00E36496">
        <w:rPr>
          <w:rFonts w:ascii="Times New Roman" w:eastAsia="仿宋_GB2312" w:hAnsi="Times New Roman"/>
          <w:sz w:val="32"/>
          <w:szCs w:val="32"/>
        </w:rPr>
        <w:lastRenderedPageBreak/>
        <w:t>定。根据年审意见，</w:t>
      </w:r>
      <w:r w:rsidR="00804CC1">
        <w:rPr>
          <w:rFonts w:ascii="Times New Roman" w:eastAsia="仿宋_GB2312" w:hAnsi="Times New Roman" w:hint="eastAsia"/>
          <w:sz w:val="32"/>
          <w:szCs w:val="32"/>
        </w:rPr>
        <w:t>确定相应分数</w:t>
      </w:r>
      <w:r w:rsidRPr="00E36496">
        <w:rPr>
          <w:rFonts w:ascii="Times New Roman" w:eastAsia="仿宋_GB2312" w:hAnsi="Times New Roman"/>
          <w:sz w:val="32"/>
          <w:szCs w:val="32"/>
        </w:rPr>
        <w:t>。</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指定交割仓库日常管理合规情况主要依据现场检查情况</w:t>
      </w:r>
      <w:r w:rsidR="00804CC1">
        <w:rPr>
          <w:rFonts w:ascii="Times New Roman" w:eastAsia="仿宋_GB2312" w:hAnsi="Times New Roman" w:hint="eastAsia"/>
          <w:sz w:val="32"/>
          <w:szCs w:val="32"/>
        </w:rPr>
        <w:t>和日常管理</w:t>
      </w:r>
      <w:r w:rsidRPr="00E36496">
        <w:rPr>
          <w:rFonts w:ascii="Times New Roman" w:eastAsia="仿宋_GB2312" w:hAnsi="Times New Roman"/>
          <w:sz w:val="32"/>
          <w:szCs w:val="32"/>
        </w:rPr>
        <w:t>来评定</w:t>
      </w:r>
      <w:r w:rsidR="00804CC1">
        <w:rPr>
          <w:rFonts w:ascii="Times New Roman" w:eastAsia="仿宋_GB2312" w:hAnsi="Times New Roman" w:hint="eastAsia"/>
          <w:sz w:val="32"/>
          <w:szCs w:val="32"/>
        </w:rPr>
        <w:t>，主要包括制度建设、基础建设、账单管理、现场管理、业务能力、市场投诉</w:t>
      </w:r>
      <w:r w:rsidR="00795A45">
        <w:rPr>
          <w:rFonts w:ascii="Times New Roman" w:eastAsia="仿宋_GB2312" w:hAnsi="Times New Roman" w:hint="eastAsia"/>
          <w:sz w:val="32"/>
          <w:szCs w:val="32"/>
        </w:rPr>
        <w:t>、风险防范管理</w:t>
      </w:r>
      <w:r w:rsidR="00804CC1">
        <w:rPr>
          <w:rFonts w:ascii="Times New Roman" w:eastAsia="仿宋_GB2312" w:hAnsi="Times New Roman" w:hint="eastAsia"/>
          <w:sz w:val="32"/>
          <w:szCs w:val="32"/>
        </w:rPr>
        <w:t>和对期货业务重视程度</w:t>
      </w:r>
      <w:r w:rsidRPr="00E36496">
        <w:rPr>
          <w:rFonts w:ascii="Times New Roman" w:eastAsia="仿宋_GB2312" w:hAnsi="Times New Roman"/>
          <w:sz w:val="32"/>
          <w:szCs w:val="32"/>
        </w:rPr>
        <w:t>。</w:t>
      </w:r>
      <w:r w:rsidR="00804CC1">
        <w:rPr>
          <w:rFonts w:ascii="Times New Roman" w:eastAsia="仿宋_GB2312" w:hAnsi="Times New Roman" w:hint="eastAsia"/>
          <w:sz w:val="32"/>
          <w:szCs w:val="32"/>
        </w:rPr>
        <w:t>其中业务能力根据现场期货业务测试分数确定。</w:t>
      </w:r>
    </w:p>
    <w:p w:rsidR="00595AD9" w:rsidRPr="00E36496" w:rsidRDefault="00595AD9" w:rsidP="00E36496">
      <w:pPr>
        <w:pStyle w:val="10"/>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指定交割仓库功能发挥</w:t>
      </w:r>
      <w:r w:rsidR="00804CC1">
        <w:rPr>
          <w:rFonts w:ascii="Times New Roman" w:eastAsia="仿宋_GB2312" w:hAnsi="Times New Roman" w:hint="eastAsia"/>
          <w:sz w:val="32"/>
          <w:szCs w:val="32"/>
        </w:rPr>
        <w:t>和市场满意度</w:t>
      </w:r>
      <w:r w:rsidRPr="00E36496">
        <w:rPr>
          <w:rFonts w:ascii="Times New Roman" w:eastAsia="仿宋_GB2312" w:hAnsi="Times New Roman"/>
          <w:sz w:val="32"/>
          <w:szCs w:val="32"/>
        </w:rPr>
        <w:t>情况主要依据交割量排名情况</w:t>
      </w:r>
      <w:r w:rsidR="00804CC1">
        <w:rPr>
          <w:rFonts w:ascii="Times New Roman" w:eastAsia="仿宋_GB2312" w:hAnsi="Times New Roman" w:hint="eastAsia"/>
          <w:sz w:val="32"/>
          <w:szCs w:val="32"/>
        </w:rPr>
        <w:t>和市场调查问卷反馈情况</w:t>
      </w:r>
      <w:r w:rsidRPr="00E36496">
        <w:rPr>
          <w:rFonts w:ascii="Times New Roman" w:eastAsia="仿宋_GB2312" w:hAnsi="Times New Roman"/>
          <w:sz w:val="32"/>
          <w:szCs w:val="32"/>
        </w:rPr>
        <w:t>来评定。</w:t>
      </w:r>
    </w:p>
    <w:p w:rsidR="00595AD9" w:rsidRPr="00E36496" w:rsidRDefault="00595AD9" w:rsidP="00E36496">
      <w:pPr>
        <w:pStyle w:val="161"/>
        <w:numPr>
          <w:ilvl w:val="0"/>
          <w:numId w:val="17"/>
        </w:numPr>
        <w:wordWrap/>
        <w:snapToGrid w:val="0"/>
        <w:spacing w:before="0" w:beforeAutospacing="0" w:after="0" w:afterAutospacing="0" w:line="580" w:lineRule="exact"/>
        <w:ind w:firstLineChars="200" w:firstLine="643"/>
        <w:jc w:val="center"/>
        <w:rPr>
          <w:rFonts w:ascii="Times New Roman" w:eastAsia="仿宋_GB2312" w:hAnsi="Times New Roman" w:cs="Times New Roman"/>
          <w:b/>
          <w:sz w:val="32"/>
          <w:szCs w:val="32"/>
        </w:rPr>
      </w:pPr>
      <w:r w:rsidRPr="00E36496">
        <w:rPr>
          <w:rFonts w:ascii="Times New Roman" w:eastAsia="仿宋_GB2312" w:hAnsi="Times New Roman" w:cs="Times New Roman"/>
          <w:b/>
          <w:sz w:val="32"/>
          <w:szCs w:val="32"/>
        </w:rPr>
        <w:t>等级评定</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按照评价计分排序情况，交易所将指定交割仓库</w:t>
      </w:r>
      <w:r w:rsidR="00804CC1">
        <w:rPr>
          <w:rFonts w:ascii="Times New Roman" w:eastAsia="仿宋_GB2312" w:hAnsi="Times New Roman" w:hint="eastAsia"/>
          <w:sz w:val="32"/>
          <w:szCs w:val="32"/>
        </w:rPr>
        <w:t>按照品种</w:t>
      </w:r>
      <w:r w:rsidRPr="00E36496">
        <w:rPr>
          <w:rFonts w:ascii="Times New Roman" w:eastAsia="仿宋_GB2312" w:hAnsi="Times New Roman"/>
          <w:sz w:val="32"/>
          <w:szCs w:val="32"/>
        </w:rPr>
        <w:t>分为</w:t>
      </w:r>
      <w:r w:rsidRPr="00E36496">
        <w:rPr>
          <w:rFonts w:ascii="Times New Roman" w:eastAsia="仿宋_GB2312" w:hAnsi="Times New Roman"/>
          <w:sz w:val="32"/>
          <w:szCs w:val="32"/>
        </w:rPr>
        <w:t>A</w:t>
      </w:r>
      <w:r w:rsidRPr="00E36496">
        <w:rPr>
          <w:rFonts w:ascii="Times New Roman" w:eastAsia="仿宋_GB2312" w:hAnsi="Times New Roman"/>
          <w:sz w:val="32"/>
          <w:szCs w:val="32"/>
        </w:rPr>
        <w:t>、</w:t>
      </w:r>
      <w:r w:rsidRPr="00E36496">
        <w:rPr>
          <w:rFonts w:ascii="Times New Roman" w:eastAsia="仿宋_GB2312" w:hAnsi="Times New Roman"/>
          <w:sz w:val="32"/>
          <w:szCs w:val="32"/>
        </w:rPr>
        <w:t>B</w:t>
      </w:r>
      <w:r w:rsidRPr="00E36496">
        <w:rPr>
          <w:rFonts w:ascii="Times New Roman" w:eastAsia="仿宋_GB2312" w:hAnsi="Times New Roman"/>
          <w:sz w:val="32"/>
          <w:szCs w:val="32"/>
        </w:rPr>
        <w:t>、</w:t>
      </w:r>
      <w:r w:rsidRPr="00E36496">
        <w:rPr>
          <w:rFonts w:ascii="Times New Roman" w:eastAsia="仿宋_GB2312" w:hAnsi="Times New Roman"/>
          <w:sz w:val="32"/>
          <w:szCs w:val="32"/>
        </w:rPr>
        <w:t>C</w:t>
      </w:r>
      <w:r w:rsidRPr="00E36496">
        <w:rPr>
          <w:rFonts w:ascii="Times New Roman" w:eastAsia="仿宋_GB2312" w:hAnsi="Times New Roman"/>
          <w:sz w:val="32"/>
          <w:szCs w:val="32"/>
        </w:rPr>
        <w:t>三级。</w:t>
      </w:r>
    </w:p>
    <w:p w:rsidR="00595AD9" w:rsidRPr="00E36496" w:rsidRDefault="00595AD9" w:rsidP="00E36496">
      <w:pPr>
        <w:pStyle w:val="10"/>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总分数排名位于前</w:t>
      </w:r>
      <w:r w:rsidRPr="00E36496">
        <w:rPr>
          <w:rFonts w:ascii="Times New Roman" w:eastAsia="仿宋_GB2312" w:hAnsi="Times New Roman"/>
          <w:sz w:val="32"/>
          <w:szCs w:val="32"/>
        </w:rPr>
        <w:t>20%</w:t>
      </w:r>
      <w:r w:rsidRPr="00E36496">
        <w:rPr>
          <w:rFonts w:ascii="Times New Roman" w:eastAsia="仿宋_GB2312" w:hAnsi="Times New Roman"/>
          <w:sz w:val="32"/>
          <w:szCs w:val="32"/>
        </w:rPr>
        <w:t>的为</w:t>
      </w:r>
      <w:r w:rsidRPr="00E36496">
        <w:rPr>
          <w:rFonts w:ascii="Times New Roman" w:eastAsia="仿宋_GB2312" w:hAnsi="Times New Roman"/>
          <w:sz w:val="32"/>
          <w:szCs w:val="32"/>
        </w:rPr>
        <w:t>A</w:t>
      </w:r>
      <w:r w:rsidRPr="00E36496">
        <w:rPr>
          <w:rFonts w:ascii="Times New Roman" w:eastAsia="仿宋_GB2312" w:hAnsi="Times New Roman"/>
          <w:sz w:val="32"/>
          <w:szCs w:val="32"/>
        </w:rPr>
        <w:t>级，排名位于后</w:t>
      </w:r>
      <w:r w:rsidRPr="00E36496">
        <w:rPr>
          <w:rFonts w:ascii="Times New Roman" w:eastAsia="仿宋_GB2312" w:hAnsi="Times New Roman"/>
          <w:sz w:val="32"/>
          <w:szCs w:val="32"/>
        </w:rPr>
        <w:t>20%</w:t>
      </w:r>
      <w:r w:rsidRPr="00E36496">
        <w:rPr>
          <w:rFonts w:ascii="Times New Roman" w:eastAsia="仿宋_GB2312" w:hAnsi="Times New Roman"/>
          <w:sz w:val="32"/>
          <w:szCs w:val="32"/>
        </w:rPr>
        <w:t>的为</w:t>
      </w:r>
      <w:r w:rsidRPr="00E36496">
        <w:rPr>
          <w:rFonts w:ascii="Times New Roman" w:eastAsia="仿宋_GB2312" w:hAnsi="Times New Roman"/>
          <w:sz w:val="32"/>
          <w:szCs w:val="32"/>
        </w:rPr>
        <w:t>C</w:t>
      </w:r>
      <w:r w:rsidRPr="00E36496">
        <w:rPr>
          <w:rFonts w:ascii="Times New Roman" w:eastAsia="仿宋_GB2312" w:hAnsi="Times New Roman"/>
          <w:sz w:val="32"/>
          <w:szCs w:val="32"/>
        </w:rPr>
        <w:t>级，其余指定交割仓库为</w:t>
      </w:r>
      <w:r w:rsidRPr="00E36496">
        <w:rPr>
          <w:rFonts w:ascii="Times New Roman" w:eastAsia="仿宋_GB2312" w:hAnsi="Times New Roman"/>
          <w:sz w:val="32"/>
          <w:szCs w:val="32"/>
        </w:rPr>
        <w:t>B</w:t>
      </w:r>
      <w:r w:rsidRPr="00E36496">
        <w:rPr>
          <w:rFonts w:ascii="Times New Roman" w:eastAsia="仿宋_GB2312" w:hAnsi="Times New Roman"/>
          <w:sz w:val="32"/>
          <w:szCs w:val="32"/>
        </w:rPr>
        <w:t>级。按比例选取的计算结果出现小数时，按照四舍五入取整。总分数相同的，按照指定交割仓库及其担保单位注册资本之和从高到低进行排序。</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指定交割仓库出现以下行为时，交易所可以将其直接划入</w:t>
      </w:r>
      <w:r w:rsidRPr="00E36496">
        <w:rPr>
          <w:rFonts w:ascii="Times New Roman" w:eastAsia="仿宋_GB2312" w:hAnsi="Times New Roman"/>
          <w:sz w:val="32"/>
          <w:szCs w:val="32"/>
        </w:rPr>
        <w:t>C</w:t>
      </w:r>
      <w:r w:rsidRPr="00E36496">
        <w:rPr>
          <w:rFonts w:ascii="Times New Roman" w:eastAsia="仿宋_GB2312" w:hAnsi="Times New Roman"/>
          <w:sz w:val="32"/>
          <w:szCs w:val="32"/>
        </w:rPr>
        <w:t>级。</w:t>
      </w:r>
    </w:p>
    <w:p w:rsidR="00595AD9" w:rsidRPr="00E36496" w:rsidRDefault="00595AD9" w:rsidP="00E36496">
      <w:pPr>
        <w:numPr>
          <w:ilvl w:val="0"/>
          <w:numId w:val="20"/>
        </w:numPr>
        <w:spacing w:line="580" w:lineRule="exact"/>
        <w:ind w:left="0" w:firstLineChars="200" w:firstLine="640"/>
        <w:rPr>
          <w:rFonts w:eastAsia="仿宋_GB2312"/>
          <w:sz w:val="32"/>
          <w:szCs w:val="32"/>
        </w:rPr>
      </w:pPr>
      <w:r w:rsidRPr="00E36496">
        <w:rPr>
          <w:rFonts w:eastAsia="仿宋_GB2312"/>
          <w:sz w:val="32"/>
          <w:szCs w:val="32"/>
        </w:rPr>
        <w:t>指定交割仓库存在为他人提供担保或贷款金额较大，交易所认为可能导致指定交割仓库出现经营风险的；</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（二）指定交割仓库从事其他经营业务，交易所认为可能导致指定交割仓库出现经营风险的；</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（三）指定交割仓库未经交易所允许，擅自将期货商品移</w:t>
      </w:r>
      <w:r w:rsidRPr="00E36496">
        <w:rPr>
          <w:rFonts w:eastAsia="仿宋_GB2312"/>
          <w:sz w:val="32"/>
          <w:szCs w:val="32"/>
        </w:rPr>
        <w:lastRenderedPageBreak/>
        <w:t>出规定库区存储的；</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（四）指定交割仓库弄虚作假，擅自处分期货商品的；</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（五）指定交割仓库保管不善导致商品质量发生变化，产生市场影响的；</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（六）指定交割仓库期货商品数量和交易所仓单系统数量不符的；</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（七）指定交割仓库收到交易所整改通知书后，未按时完成各项整改要求的；</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（八）指定交割仓库向交易所提交虚假材料或者采取其他欺诈手段取得指定交割仓库资格的；</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（九）指定交割仓库严重损害客户利益，给市场造成恶劣影响的；</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（十）指定交割仓库拒绝交易所日常监管的，包括未缴纳风险抵押金、不配合现场检查或年审、不按时开具仓储费发票等；</w:t>
      </w:r>
    </w:p>
    <w:p w:rsidR="00595AD9" w:rsidRP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（十一）交易所认定的其他情况。</w:t>
      </w:r>
    </w:p>
    <w:p w:rsidR="00595AD9" w:rsidRPr="00E36496" w:rsidRDefault="00595AD9" w:rsidP="00E36496">
      <w:pPr>
        <w:pStyle w:val="161"/>
        <w:wordWrap/>
        <w:snapToGrid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E36496">
        <w:rPr>
          <w:rFonts w:ascii="Times New Roman" w:eastAsia="仿宋_GB2312" w:hAnsi="Times New Roman" w:cs="Times New Roman"/>
          <w:sz w:val="32"/>
          <w:szCs w:val="32"/>
        </w:rPr>
        <w:t>按比例选取</w:t>
      </w:r>
      <w:r w:rsidRPr="00E36496">
        <w:rPr>
          <w:rFonts w:ascii="Times New Roman" w:eastAsia="仿宋_GB2312" w:hAnsi="Times New Roman" w:cs="Times New Roman"/>
          <w:sz w:val="32"/>
          <w:szCs w:val="32"/>
        </w:rPr>
        <w:t>C</w:t>
      </w:r>
      <w:r w:rsidRPr="00E36496">
        <w:rPr>
          <w:rFonts w:ascii="Times New Roman" w:eastAsia="仿宋_GB2312" w:hAnsi="Times New Roman" w:cs="Times New Roman"/>
          <w:sz w:val="32"/>
          <w:szCs w:val="32"/>
        </w:rPr>
        <w:t>级指定交割仓库时，应将发生以上行为直接划入</w:t>
      </w:r>
      <w:r w:rsidRPr="00E36496">
        <w:rPr>
          <w:rFonts w:ascii="Times New Roman" w:eastAsia="仿宋_GB2312" w:hAnsi="Times New Roman" w:cs="Times New Roman"/>
          <w:sz w:val="32"/>
          <w:szCs w:val="32"/>
        </w:rPr>
        <w:t>C</w:t>
      </w:r>
      <w:r w:rsidRPr="00E36496">
        <w:rPr>
          <w:rFonts w:ascii="Times New Roman" w:eastAsia="仿宋_GB2312" w:hAnsi="Times New Roman" w:cs="Times New Roman"/>
          <w:sz w:val="32"/>
          <w:szCs w:val="32"/>
        </w:rPr>
        <w:t>级的指定交割仓库计算在内；当发生以上行为的指定交割仓库数量超出指定交割仓库总数的</w:t>
      </w:r>
      <w:r w:rsidRPr="00E36496">
        <w:rPr>
          <w:rFonts w:ascii="Times New Roman" w:eastAsia="仿宋_GB2312" w:hAnsi="Times New Roman" w:cs="Times New Roman"/>
          <w:sz w:val="32"/>
          <w:szCs w:val="32"/>
        </w:rPr>
        <w:t>20%</w:t>
      </w:r>
      <w:r w:rsidRPr="00E36496">
        <w:rPr>
          <w:rFonts w:ascii="Times New Roman" w:eastAsia="仿宋_GB2312" w:hAnsi="Times New Roman" w:cs="Times New Roman"/>
          <w:sz w:val="32"/>
          <w:szCs w:val="32"/>
        </w:rPr>
        <w:t>时，按实际数量选取</w:t>
      </w:r>
      <w:r w:rsidRPr="00E36496">
        <w:rPr>
          <w:rFonts w:ascii="Times New Roman" w:eastAsia="仿宋_GB2312" w:hAnsi="Times New Roman" w:cs="Times New Roman"/>
          <w:sz w:val="32"/>
          <w:szCs w:val="32"/>
        </w:rPr>
        <w:t>C</w:t>
      </w:r>
      <w:r w:rsidRPr="00E36496">
        <w:rPr>
          <w:rFonts w:ascii="Times New Roman" w:eastAsia="仿宋_GB2312" w:hAnsi="Times New Roman" w:cs="Times New Roman"/>
          <w:sz w:val="32"/>
          <w:szCs w:val="32"/>
        </w:rPr>
        <w:t>级指定交割仓库。</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指定交割仓库的等级评定工作由交易所相关职能部门承担。</w:t>
      </w:r>
    </w:p>
    <w:p w:rsidR="00595AD9" w:rsidRPr="00E36496" w:rsidRDefault="00595AD9" w:rsidP="00E36496">
      <w:pPr>
        <w:pStyle w:val="10"/>
        <w:spacing w:line="580" w:lineRule="exact"/>
        <w:ind w:firstLine="640"/>
        <w:rPr>
          <w:rFonts w:ascii="Times New Roman" w:eastAsia="仿宋_GB2312" w:hAnsi="Times New Roman"/>
          <w:sz w:val="32"/>
          <w:szCs w:val="32"/>
          <w:u w:val="single"/>
        </w:rPr>
      </w:pPr>
    </w:p>
    <w:p w:rsidR="00595AD9" w:rsidRPr="00E36496" w:rsidRDefault="00595AD9" w:rsidP="00E36496">
      <w:pPr>
        <w:pStyle w:val="161"/>
        <w:numPr>
          <w:ilvl w:val="0"/>
          <w:numId w:val="17"/>
        </w:numPr>
        <w:wordWrap/>
        <w:snapToGrid w:val="0"/>
        <w:spacing w:before="0" w:beforeAutospacing="0" w:after="0" w:afterAutospacing="0" w:line="580" w:lineRule="exact"/>
        <w:ind w:firstLineChars="200" w:firstLine="643"/>
        <w:jc w:val="center"/>
        <w:rPr>
          <w:rFonts w:ascii="Times New Roman" w:eastAsia="仿宋_GB2312" w:hAnsi="Times New Roman" w:cs="Times New Roman"/>
          <w:b/>
          <w:sz w:val="32"/>
          <w:szCs w:val="32"/>
        </w:rPr>
      </w:pPr>
      <w:r w:rsidRPr="00E36496">
        <w:rPr>
          <w:rFonts w:ascii="Times New Roman" w:eastAsia="仿宋_GB2312" w:hAnsi="Times New Roman" w:cs="Times New Roman"/>
          <w:b/>
          <w:sz w:val="32"/>
          <w:szCs w:val="32"/>
        </w:rPr>
        <w:t>监督管理</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指定交割仓库的评级结果作为指定交割仓库暂停、取消的</w:t>
      </w:r>
      <w:r w:rsidR="00804CC1">
        <w:rPr>
          <w:rFonts w:ascii="Times New Roman" w:eastAsia="仿宋_GB2312" w:hAnsi="Times New Roman" w:hint="eastAsia"/>
          <w:sz w:val="32"/>
          <w:szCs w:val="32"/>
        </w:rPr>
        <w:t>主要</w:t>
      </w:r>
      <w:r w:rsidRPr="00E36496">
        <w:rPr>
          <w:rFonts w:ascii="Times New Roman" w:eastAsia="仿宋_GB2312" w:hAnsi="Times New Roman"/>
          <w:sz w:val="32"/>
          <w:szCs w:val="32"/>
        </w:rPr>
        <w:t>参考依据。</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交易所可根据等级评定结果，采取下列监督管理措施：</w:t>
      </w:r>
    </w:p>
    <w:p w:rsidR="00595AD9" w:rsidRPr="00E36496" w:rsidRDefault="00595AD9" w:rsidP="00E36496">
      <w:pPr>
        <w:snapToGrid w:val="0"/>
        <w:spacing w:line="580" w:lineRule="exact"/>
        <w:ind w:firstLineChars="200" w:firstLine="640"/>
        <w:rPr>
          <w:rFonts w:eastAsia="仿宋_GB2312"/>
          <w:sz w:val="32"/>
          <w:szCs w:val="32"/>
        </w:rPr>
      </w:pPr>
      <w:r w:rsidRPr="00E36496">
        <w:rPr>
          <w:rFonts w:eastAsia="仿宋_GB2312"/>
          <w:sz w:val="32"/>
          <w:szCs w:val="32"/>
        </w:rPr>
        <w:t>（一）下发整改通知书；</w:t>
      </w:r>
    </w:p>
    <w:p w:rsidR="00595AD9" w:rsidRPr="00E36496" w:rsidRDefault="00595AD9" w:rsidP="00E36496">
      <w:pPr>
        <w:snapToGrid w:val="0"/>
        <w:spacing w:line="580" w:lineRule="exact"/>
        <w:ind w:firstLineChars="200" w:firstLine="640"/>
        <w:rPr>
          <w:rFonts w:eastAsia="仿宋_GB2312"/>
          <w:sz w:val="32"/>
          <w:szCs w:val="32"/>
        </w:rPr>
      </w:pPr>
      <w:r w:rsidRPr="00E36496">
        <w:rPr>
          <w:rFonts w:eastAsia="仿宋_GB2312"/>
          <w:sz w:val="32"/>
          <w:szCs w:val="32"/>
        </w:rPr>
        <w:t>（二）暂缓办理交割预报；</w:t>
      </w:r>
    </w:p>
    <w:p w:rsidR="00595AD9" w:rsidRPr="00E36496" w:rsidRDefault="00595AD9" w:rsidP="00E36496">
      <w:pPr>
        <w:snapToGrid w:val="0"/>
        <w:spacing w:line="580" w:lineRule="exact"/>
        <w:ind w:firstLineChars="200" w:firstLine="640"/>
        <w:rPr>
          <w:rFonts w:eastAsia="仿宋_GB2312"/>
          <w:sz w:val="32"/>
          <w:szCs w:val="32"/>
        </w:rPr>
      </w:pPr>
      <w:r w:rsidRPr="00E36496">
        <w:rPr>
          <w:rFonts w:eastAsia="仿宋_GB2312"/>
          <w:sz w:val="32"/>
          <w:szCs w:val="32"/>
        </w:rPr>
        <w:t>（三）暂缓办理仓单注册；</w:t>
      </w:r>
    </w:p>
    <w:p w:rsidR="00595AD9" w:rsidRPr="00E36496" w:rsidRDefault="00595AD9" w:rsidP="00E36496">
      <w:pPr>
        <w:snapToGrid w:val="0"/>
        <w:spacing w:line="580" w:lineRule="exact"/>
        <w:ind w:firstLineChars="200" w:firstLine="640"/>
        <w:rPr>
          <w:rFonts w:eastAsia="仿宋_GB2312"/>
          <w:sz w:val="32"/>
          <w:szCs w:val="32"/>
        </w:rPr>
      </w:pPr>
      <w:r w:rsidRPr="00E36496">
        <w:rPr>
          <w:rFonts w:eastAsia="仿宋_GB2312"/>
          <w:sz w:val="32"/>
          <w:szCs w:val="32"/>
        </w:rPr>
        <w:t>（四）暂停交割业务；</w:t>
      </w:r>
    </w:p>
    <w:p w:rsidR="00595AD9" w:rsidRPr="00E36496" w:rsidRDefault="00595AD9" w:rsidP="00E36496">
      <w:pPr>
        <w:snapToGrid w:val="0"/>
        <w:spacing w:line="580" w:lineRule="exact"/>
        <w:ind w:firstLineChars="200" w:firstLine="640"/>
        <w:rPr>
          <w:rFonts w:eastAsia="仿宋_GB2312"/>
          <w:sz w:val="32"/>
          <w:szCs w:val="32"/>
        </w:rPr>
      </w:pPr>
      <w:r w:rsidRPr="00E36496">
        <w:rPr>
          <w:rFonts w:eastAsia="仿宋_GB2312"/>
          <w:sz w:val="32"/>
          <w:szCs w:val="32"/>
        </w:rPr>
        <w:t>（五）取消指定交割仓库资格。</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指定交割仓库应当自收到整改通知书或暂缓办理交割预报、仓单注册通知之日起三十日内向交易所提交整改报告。交易所将跟踪监督指定交割仓库的整改工作，检查整改措施的落实情况，并根据整改落实情况决定是否采取恢复或暂停交割业务、取消指定交割仓库资格等处理措施。</w:t>
      </w:r>
    </w:p>
    <w:p w:rsidR="00595AD9" w:rsidRPr="00E36496" w:rsidRDefault="00595AD9" w:rsidP="00E36496">
      <w:pPr>
        <w:pStyle w:val="161"/>
        <w:wordWrap/>
        <w:snapToGrid w:val="0"/>
        <w:spacing w:before="0" w:beforeAutospacing="0" w:after="0" w:afterAutospacing="0" w:line="580" w:lineRule="exact"/>
        <w:ind w:firstLineChars="200" w:firstLine="643"/>
        <w:jc w:val="center"/>
        <w:rPr>
          <w:rFonts w:ascii="Times New Roman" w:eastAsia="仿宋_GB2312" w:hAnsi="Times New Roman" w:cs="Times New Roman"/>
          <w:b/>
          <w:sz w:val="32"/>
          <w:szCs w:val="32"/>
        </w:rPr>
      </w:pPr>
    </w:p>
    <w:p w:rsidR="00595AD9" w:rsidRPr="00E36496" w:rsidRDefault="00595AD9" w:rsidP="00E36496">
      <w:pPr>
        <w:pStyle w:val="161"/>
        <w:numPr>
          <w:ilvl w:val="0"/>
          <w:numId w:val="17"/>
        </w:numPr>
        <w:wordWrap/>
        <w:snapToGrid w:val="0"/>
        <w:spacing w:before="0" w:beforeAutospacing="0" w:after="0" w:afterAutospacing="0" w:line="580" w:lineRule="exact"/>
        <w:ind w:firstLineChars="200" w:firstLine="643"/>
        <w:jc w:val="center"/>
        <w:rPr>
          <w:rFonts w:ascii="Times New Roman" w:eastAsia="仿宋_GB2312" w:hAnsi="Times New Roman" w:cs="Times New Roman"/>
          <w:b/>
          <w:sz w:val="32"/>
          <w:szCs w:val="32"/>
        </w:rPr>
      </w:pPr>
      <w:r w:rsidRPr="00E36496">
        <w:rPr>
          <w:rFonts w:ascii="Times New Roman" w:eastAsia="仿宋_GB2312" w:hAnsi="Times New Roman" w:cs="Times New Roman"/>
          <w:b/>
          <w:sz w:val="32"/>
          <w:szCs w:val="32"/>
        </w:rPr>
        <w:t>附则</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本办法解释权属于大连商品交易所。</w:t>
      </w:r>
    </w:p>
    <w:p w:rsidR="00595AD9" w:rsidRPr="00E36496" w:rsidRDefault="00595AD9" w:rsidP="00E36496">
      <w:pPr>
        <w:pStyle w:val="10"/>
        <w:numPr>
          <w:ilvl w:val="0"/>
          <w:numId w:val="18"/>
        </w:numPr>
        <w:spacing w:line="580" w:lineRule="exact"/>
        <w:ind w:firstLine="640"/>
        <w:rPr>
          <w:rFonts w:ascii="Times New Roman" w:eastAsia="仿宋_GB2312" w:hAnsi="Times New Roman"/>
          <w:sz w:val="32"/>
          <w:szCs w:val="32"/>
        </w:rPr>
      </w:pPr>
      <w:r w:rsidRPr="00E36496">
        <w:rPr>
          <w:rFonts w:ascii="Times New Roman" w:eastAsia="仿宋_GB2312" w:hAnsi="Times New Roman"/>
          <w:sz w:val="32"/>
          <w:szCs w:val="32"/>
        </w:rPr>
        <w:t>本办法自公布之日起实施。</w:t>
      </w:r>
    </w:p>
    <w:p w:rsidR="00E36496" w:rsidRDefault="00595AD9" w:rsidP="00E36496">
      <w:pPr>
        <w:spacing w:line="580" w:lineRule="exact"/>
        <w:ind w:firstLineChars="200" w:firstLine="640"/>
        <w:rPr>
          <w:rFonts w:eastAsia="仿宋_GB2312"/>
          <w:sz w:val="32"/>
          <w:szCs w:val="32"/>
        </w:rPr>
      </w:pPr>
      <w:r w:rsidRPr="00E36496">
        <w:rPr>
          <w:rFonts w:eastAsia="仿宋_GB2312"/>
          <w:sz w:val="32"/>
          <w:szCs w:val="32"/>
        </w:rPr>
        <w:t>附件：指定交割仓库年审工作底稿</w:t>
      </w:r>
    </w:p>
    <w:p w:rsidR="00E36496" w:rsidRDefault="00E36496">
      <w:pPr>
        <w:rPr>
          <w:rFonts w:ascii="仿宋_GB2312" w:eastAsia="仿宋_GB2312" w:hAnsi="宋体" w:cs="宋体"/>
          <w:bCs/>
          <w:kern w:val="0"/>
          <w:sz w:val="30"/>
          <w:szCs w:val="30"/>
        </w:rPr>
      </w:pPr>
      <w:r>
        <w:br w:type="page"/>
      </w:r>
      <w:r w:rsidRPr="008D70C6">
        <w:rPr>
          <w:rFonts w:ascii="仿宋_GB2312" w:eastAsia="仿宋_GB2312" w:hAnsi="宋体" w:cs="宋体" w:hint="eastAsia"/>
          <w:bCs/>
          <w:kern w:val="0"/>
          <w:sz w:val="30"/>
          <w:szCs w:val="30"/>
        </w:rPr>
        <w:lastRenderedPageBreak/>
        <w:t>附件</w:t>
      </w:r>
      <w:r>
        <w:rPr>
          <w:rFonts w:ascii="仿宋_GB2312" w:eastAsia="仿宋_GB2312" w:hAnsi="宋体" w:cs="宋体" w:hint="eastAsia"/>
          <w:bCs/>
          <w:kern w:val="0"/>
          <w:sz w:val="30"/>
          <w:szCs w:val="30"/>
        </w:rPr>
        <w:t>：</w:t>
      </w:r>
    </w:p>
    <w:p w:rsidR="00E36496" w:rsidRPr="00E36496" w:rsidRDefault="00E36496" w:rsidP="00E36496">
      <w:pPr>
        <w:jc w:val="center"/>
        <w:rPr>
          <w:rFonts w:ascii="宋体" w:hAnsi="宋体"/>
          <w:sz w:val="36"/>
          <w:szCs w:val="36"/>
        </w:rPr>
      </w:pPr>
      <w:r w:rsidRPr="00E36496">
        <w:rPr>
          <w:rFonts w:ascii="宋体" w:hAnsi="宋体" w:cs="宋体" w:hint="eastAsia"/>
          <w:b/>
          <w:bCs/>
          <w:kern w:val="0"/>
          <w:sz w:val="36"/>
          <w:szCs w:val="36"/>
        </w:rPr>
        <w:t>指定交割仓库年审工作底稿</w:t>
      </w:r>
    </w:p>
    <w:tbl>
      <w:tblPr>
        <w:tblW w:w="9344" w:type="dxa"/>
        <w:tblLook w:val="00A0"/>
      </w:tblPr>
      <w:tblGrid>
        <w:gridCol w:w="1099"/>
        <w:gridCol w:w="2157"/>
        <w:gridCol w:w="1437"/>
        <w:gridCol w:w="2410"/>
        <w:gridCol w:w="2241"/>
      </w:tblGrid>
      <w:tr w:rsidR="00595AD9" w:rsidRPr="00C80407">
        <w:trPr>
          <w:trHeight w:val="365"/>
        </w:trPr>
        <w:tc>
          <w:tcPr>
            <w:tcW w:w="9344" w:type="dxa"/>
            <w:gridSpan w:val="5"/>
            <w:tcBorders>
              <w:top w:val="nil"/>
              <w:left w:val="nil"/>
              <w:bottom w:val="nil"/>
              <w:right w:val="nil"/>
            </w:tcBorders>
            <w:vAlign w:val="bottom"/>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交易所名称：</w:t>
            </w:r>
            <w:r w:rsidRPr="0059583E">
              <w:rPr>
                <w:rFonts w:ascii="仿宋_GB2312" w:eastAsia="仿宋_GB2312" w:hAnsi="宋体" w:cs="宋体"/>
                <w:kern w:val="0"/>
                <w:sz w:val="24"/>
              </w:rPr>
              <w:t xml:space="preserve"> </w:t>
            </w:r>
          </w:p>
        </w:tc>
      </w:tr>
      <w:tr w:rsidR="00595AD9" w:rsidRPr="00C80407">
        <w:trPr>
          <w:trHeight w:val="365"/>
        </w:trPr>
        <w:tc>
          <w:tcPr>
            <w:tcW w:w="9344" w:type="dxa"/>
            <w:gridSpan w:val="5"/>
            <w:tcBorders>
              <w:top w:val="nil"/>
              <w:left w:val="nil"/>
              <w:bottom w:val="nil"/>
              <w:right w:val="nil"/>
            </w:tcBorders>
            <w:vAlign w:val="bottom"/>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指定交割仓库名称：</w:t>
            </w:r>
            <w:r w:rsidRPr="0059583E">
              <w:rPr>
                <w:rFonts w:ascii="仿宋_GB2312" w:eastAsia="仿宋_GB2312" w:hAnsi="宋体" w:cs="宋体"/>
                <w:kern w:val="0"/>
                <w:sz w:val="24"/>
              </w:rPr>
              <w:t xml:space="preserve"> </w:t>
            </w:r>
          </w:p>
        </w:tc>
      </w:tr>
      <w:tr w:rsidR="00595AD9" w:rsidRPr="00C80407">
        <w:trPr>
          <w:trHeight w:val="365"/>
        </w:trPr>
        <w:tc>
          <w:tcPr>
            <w:tcW w:w="9344" w:type="dxa"/>
            <w:gridSpan w:val="5"/>
            <w:tcBorders>
              <w:top w:val="nil"/>
              <w:left w:val="nil"/>
              <w:bottom w:val="nil"/>
              <w:right w:val="nil"/>
            </w:tcBorders>
            <w:vAlign w:val="bottom"/>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该仓库库点名称：</w:t>
            </w:r>
          </w:p>
        </w:tc>
      </w:tr>
      <w:tr w:rsidR="00595AD9" w:rsidRPr="00C80407">
        <w:trPr>
          <w:trHeight w:val="365"/>
        </w:trPr>
        <w:tc>
          <w:tcPr>
            <w:tcW w:w="9344" w:type="dxa"/>
            <w:gridSpan w:val="5"/>
            <w:tcBorders>
              <w:top w:val="nil"/>
              <w:left w:val="nil"/>
              <w:bottom w:val="nil"/>
              <w:right w:val="nil"/>
            </w:tcBorders>
            <w:vAlign w:val="bottom"/>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该仓库本交易所交割商品</w:t>
            </w:r>
            <w:r w:rsidRPr="0059583E">
              <w:rPr>
                <w:rFonts w:ascii="仿宋_GB2312" w:eastAsia="仿宋_GB2312" w:hAnsi="宋体" w:cs="宋体"/>
                <w:kern w:val="0"/>
                <w:sz w:val="24"/>
              </w:rPr>
              <w:t xml:space="preserve">: </w:t>
            </w:r>
          </w:p>
        </w:tc>
      </w:tr>
      <w:tr w:rsidR="00595AD9" w:rsidRPr="00C80407">
        <w:trPr>
          <w:trHeight w:val="365"/>
        </w:trPr>
        <w:tc>
          <w:tcPr>
            <w:tcW w:w="9344" w:type="dxa"/>
            <w:gridSpan w:val="5"/>
            <w:tcBorders>
              <w:top w:val="nil"/>
              <w:left w:val="nil"/>
              <w:bottom w:val="nil"/>
              <w:right w:val="nil"/>
            </w:tcBorders>
            <w:vAlign w:val="bottom"/>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年审时间：</w:t>
            </w:r>
            <w:r w:rsidRPr="0059583E">
              <w:rPr>
                <w:rFonts w:ascii="仿宋_GB2312" w:eastAsia="仿宋_GB2312" w:hAnsi="宋体" w:cs="宋体"/>
                <w:kern w:val="0"/>
                <w:sz w:val="24"/>
              </w:rPr>
              <w:t xml:space="preserve">   </w:t>
            </w:r>
            <w:r w:rsidRPr="0059583E">
              <w:rPr>
                <w:rFonts w:ascii="仿宋_GB2312" w:eastAsia="仿宋_GB2312" w:hAnsi="宋体" w:cs="宋体" w:hint="eastAsia"/>
                <w:kern w:val="0"/>
                <w:sz w:val="24"/>
              </w:rPr>
              <w:t>年</w:t>
            </w:r>
            <w:r w:rsidRPr="0059583E">
              <w:rPr>
                <w:rFonts w:ascii="仿宋_GB2312" w:eastAsia="仿宋_GB2312" w:hAnsi="宋体" w:cs="宋体"/>
                <w:kern w:val="0"/>
                <w:sz w:val="24"/>
              </w:rPr>
              <w:t xml:space="preserve">    </w:t>
            </w:r>
            <w:r w:rsidRPr="0059583E">
              <w:rPr>
                <w:rFonts w:ascii="仿宋_GB2312" w:eastAsia="仿宋_GB2312" w:hAnsi="宋体" w:cs="宋体" w:hint="eastAsia"/>
                <w:kern w:val="0"/>
                <w:sz w:val="24"/>
              </w:rPr>
              <w:t>月</w:t>
            </w:r>
          </w:p>
        </w:tc>
      </w:tr>
      <w:tr w:rsidR="00595AD9" w:rsidRPr="00C80407">
        <w:trPr>
          <w:trHeight w:val="365"/>
        </w:trPr>
        <w:tc>
          <w:tcPr>
            <w:tcW w:w="9344" w:type="dxa"/>
            <w:gridSpan w:val="5"/>
            <w:tcBorders>
              <w:top w:val="nil"/>
              <w:left w:val="nil"/>
              <w:bottom w:val="nil"/>
              <w:right w:val="nil"/>
            </w:tcBorders>
            <w:vAlign w:val="bottom"/>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年审人员（签章）：</w:t>
            </w:r>
          </w:p>
        </w:tc>
      </w:tr>
      <w:tr w:rsidR="00595AD9" w:rsidRPr="00C80407">
        <w:trPr>
          <w:trHeight w:val="365"/>
        </w:trPr>
        <w:tc>
          <w:tcPr>
            <w:tcW w:w="9344" w:type="dxa"/>
            <w:gridSpan w:val="5"/>
            <w:tcBorders>
              <w:top w:val="nil"/>
              <w:left w:val="nil"/>
              <w:right w:val="nil"/>
            </w:tcBorders>
            <w:vAlign w:val="bottom"/>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牵头年审部门负责人（签章）：</w:t>
            </w:r>
          </w:p>
        </w:tc>
      </w:tr>
      <w:tr w:rsidR="00595AD9" w:rsidRPr="00C80407">
        <w:trPr>
          <w:trHeight w:val="365"/>
        </w:trPr>
        <w:tc>
          <w:tcPr>
            <w:tcW w:w="9344" w:type="dxa"/>
            <w:gridSpan w:val="5"/>
            <w:tcBorders>
              <w:top w:val="nil"/>
              <w:bottom w:val="single" w:sz="4" w:space="0" w:color="auto"/>
            </w:tcBorders>
            <w:vAlign w:val="bottom"/>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 xml:space="preserve">　</w:t>
            </w:r>
          </w:p>
        </w:tc>
      </w:tr>
      <w:tr w:rsidR="00595AD9" w:rsidRPr="00C80407">
        <w:trPr>
          <w:trHeight w:val="729"/>
        </w:trPr>
        <w:tc>
          <w:tcPr>
            <w:tcW w:w="1099" w:type="dxa"/>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年审类别</w:t>
            </w: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年审内容</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结果评价（在对应答案打√，或如实填写）</w:t>
            </w:r>
            <w:r w:rsidRPr="0059583E">
              <w:rPr>
                <w:rFonts w:ascii="仿宋_GB2312" w:eastAsia="仿宋_GB2312" w:hAnsi="宋体" w:cs="宋体"/>
                <w:kern w:val="0"/>
                <w:sz w:val="24"/>
              </w:rPr>
              <w:t xml:space="preserve"> </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备注（含不符合监管要求或不适用等情况说明）</w:t>
            </w:r>
          </w:p>
        </w:tc>
      </w:tr>
      <w:tr w:rsidR="00595AD9" w:rsidRPr="00C80407">
        <w:trPr>
          <w:trHeight w:val="365"/>
        </w:trPr>
        <w:tc>
          <w:tcPr>
            <w:tcW w:w="1099" w:type="dxa"/>
            <w:vMerge w:val="restart"/>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一、仓库主体资格相关证明材料</w:t>
            </w: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w:t>
            </w:r>
            <w:r w:rsidRPr="0059583E">
              <w:rPr>
                <w:rFonts w:ascii="仿宋_GB2312" w:eastAsia="仿宋_GB2312" w:hAnsi="宋体" w:cs="宋体" w:hint="eastAsia"/>
                <w:kern w:val="0"/>
                <w:sz w:val="24"/>
              </w:rPr>
              <w:t>营业执照是否合规</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w:t>
            </w:r>
            <w:r w:rsidRPr="0059583E">
              <w:rPr>
                <w:rFonts w:ascii="仿宋_GB2312" w:eastAsia="仿宋_GB2312" w:hAnsi="宋体" w:cs="宋体" w:hint="eastAsia"/>
                <w:kern w:val="0"/>
                <w:sz w:val="24"/>
              </w:rPr>
              <w:t>税务登记证是否合规</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3.</w:t>
            </w:r>
            <w:r w:rsidRPr="0059583E">
              <w:rPr>
                <w:rFonts w:ascii="仿宋_GB2312" w:eastAsia="仿宋_GB2312" w:hAnsi="宋体" w:cs="宋体" w:hint="eastAsia"/>
                <w:kern w:val="0"/>
                <w:sz w:val="24"/>
              </w:rPr>
              <w:t>组织机构代码证是否合规</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基本评价</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1064"/>
        </w:trPr>
        <w:tc>
          <w:tcPr>
            <w:tcW w:w="1099" w:type="dxa"/>
            <w:vMerge w:val="restart"/>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二、仓储设施相关证明材料</w:t>
            </w: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4.</w:t>
            </w:r>
            <w:r w:rsidRPr="0059583E">
              <w:rPr>
                <w:rFonts w:ascii="仿宋_GB2312" w:eastAsia="仿宋_GB2312" w:hAnsi="宋体" w:cs="宋体" w:hint="eastAsia"/>
                <w:kern w:val="0"/>
                <w:sz w:val="24"/>
              </w:rPr>
              <w:t>有无土地部门颁发的仓库土地使用权证明（如有租赁协议，请在备注中说明）</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有</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无</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不适用</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832"/>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5.</w:t>
            </w:r>
            <w:r w:rsidRPr="0059583E">
              <w:rPr>
                <w:rFonts w:ascii="仿宋_GB2312" w:eastAsia="仿宋_GB2312" w:hAnsi="宋体" w:cs="宋体" w:hint="eastAsia"/>
                <w:kern w:val="0"/>
                <w:sz w:val="24"/>
              </w:rPr>
              <w:t>仓库土地使用权证明是否显示抵押，如是，请在备注中说明</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不适用</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1152"/>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6.</w:t>
            </w:r>
            <w:r w:rsidRPr="0059583E">
              <w:rPr>
                <w:rFonts w:ascii="仿宋_GB2312" w:eastAsia="仿宋_GB2312" w:hAnsi="宋体" w:cs="宋体" w:hint="eastAsia"/>
                <w:kern w:val="0"/>
                <w:sz w:val="24"/>
              </w:rPr>
              <w:t>有无房产或其他部门颁发的仓库或油罐产权证明（如有租赁协议，请在备注中说明）</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有</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无</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不适用</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861"/>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7.</w:t>
            </w:r>
            <w:r w:rsidRPr="0059583E">
              <w:rPr>
                <w:rFonts w:ascii="仿宋_GB2312" w:eastAsia="仿宋_GB2312" w:hAnsi="宋体" w:cs="宋体" w:hint="eastAsia"/>
                <w:kern w:val="0"/>
                <w:sz w:val="24"/>
              </w:rPr>
              <w:t>仓库或油罐产权证明是否显示抵押，如是，请在备注中说明</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不适用</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基本评价</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729"/>
        </w:trPr>
        <w:tc>
          <w:tcPr>
            <w:tcW w:w="1099" w:type="dxa"/>
            <w:vMerge w:val="restart"/>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三、仓库财务状况相关证明材料</w:t>
            </w: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8.</w:t>
            </w:r>
            <w:r w:rsidRPr="0059583E">
              <w:rPr>
                <w:rFonts w:ascii="仿宋_GB2312" w:eastAsia="仿宋_GB2312" w:hAnsi="宋体" w:cs="宋体" w:hint="eastAsia"/>
                <w:kern w:val="0"/>
                <w:sz w:val="24"/>
              </w:rPr>
              <w:t>年度审计报告或验资报告</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是否规范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9.</w:t>
            </w:r>
            <w:r w:rsidRPr="0059583E">
              <w:rPr>
                <w:rFonts w:ascii="仿宋_GB2312" w:eastAsia="仿宋_GB2312" w:hAnsi="宋体" w:cs="宋体" w:hint="eastAsia"/>
                <w:kern w:val="0"/>
                <w:sz w:val="24"/>
              </w:rPr>
              <w:t>年末总资产</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10.</w:t>
            </w:r>
            <w:r w:rsidRPr="0059583E">
              <w:rPr>
                <w:rFonts w:ascii="仿宋_GB2312" w:eastAsia="仿宋_GB2312" w:hAnsi="宋体" w:cs="宋体" w:hint="eastAsia"/>
                <w:kern w:val="0"/>
                <w:sz w:val="24"/>
              </w:rPr>
              <w:t>年末净资产</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11.</w:t>
            </w:r>
            <w:r w:rsidRPr="0059583E">
              <w:rPr>
                <w:rFonts w:ascii="仿宋_GB2312" w:eastAsia="仿宋_GB2312" w:hAnsi="宋体" w:cs="宋体" w:hint="eastAsia"/>
                <w:kern w:val="0"/>
                <w:sz w:val="24"/>
              </w:rPr>
              <w:t>年末固定资产</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12.</w:t>
            </w:r>
            <w:r w:rsidRPr="0059583E">
              <w:rPr>
                <w:rFonts w:ascii="仿宋_GB2312" w:eastAsia="仿宋_GB2312" w:hAnsi="宋体" w:cs="宋体" w:hint="eastAsia"/>
                <w:kern w:val="0"/>
                <w:sz w:val="24"/>
              </w:rPr>
              <w:t>年末流动资产</w:t>
            </w:r>
          </w:p>
        </w:tc>
        <w:tc>
          <w:tcPr>
            <w:tcW w:w="1437" w:type="dxa"/>
            <w:tcBorders>
              <w:top w:val="single" w:sz="4" w:space="0" w:color="auto"/>
              <w:left w:val="single" w:sz="4" w:space="0" w:color="auto"/>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single" w:sz="4" w:space="0" w:color="auto"/>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single" w:sz="4" w:space="0" w:color="auto"/>
              <w:left w:val="single" w:sz="4" w:space="0" w:color="auto"/>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13.</w:t>
            </w:r>
            <w:r w:rsidRPr="0059583E">
              <w:rPr>
                <w:rFonts w:ascii="仿宋_GB2312" w:eastAsia="仿宋_GB2312" w:hAnsi="宋体" w:cs="宋体" w:hint="eastAsia"/>
                <w:kern w:val="0"/>
                <w:sz w:val="24"/>
              </w:rPr>
              <w:t>年末总负债</w:t>
            </w:r>
          </w:p>
        </w:tc>
        <w:tc>
          <w:tcPr>
            <w:tcW w:w="1437" w:type="dxa"/>
            <w:tcBorders>
              <w:top w:val="single" w:sz="4" w:space="0" w:color="auto"/>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14.</w:t>
            </w:r>
            <w:r w:rsidRPr="0059583E">
              <w:rPr>
                <w:rFonts w:ascii="仿宋_GB2312" w:eastAsia="仿宋_GB2312" w:hAnsi="宋体" w:cs="宋体" w:hint="eastAsia"/>
                <w:kern w:val="0"/>
                <w:sz w:val="24"/>
              </w:rPr>
              <w:t>资产负债率</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 xml:space="preserve">　</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15.</w:t>
            </w:r>
            <w:r w:rsidRPr="0059583E">
              <w:rPr>
                <w:rFonts w:ascii="仿宋_GB2312" w:eastAsia="仿宋_GB2312" w:hAnsi="宋体" w:cs="宋体" w:hint="eastAsia"/>
                <w:kern w:val="0"/>
                <w:sz w:val="24"/>
              </w:rPr>
              <w:t>盈</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亏额</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16.</w:t>
            </w:r>
            <w:r w:rsidRPr="0059583E">
              <w:rPr>
                <w:rFonts w:ascii="仿宋_GB2312" w:eastAsia="仿宋_GB2312" w:hAnsi="宋体" w:cs="宋体" w:hint="eastAsia"/>
                <w:kern w:val="0"/>
                <w:sz w:val="24"/>
              </w:rPr>
              <w:t>期货仓储费收入</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17.</w:t>
            </w:r>
            <w:r w:rsidRPr="0059583E">
              <w:rPr>
                <w:rFonts w:ascii="仿宋_GB2312" w:eastAsia="仿宋_GB2312" w:hAnsi="宋体" w:cs="宋体" w:hint="eastAsia"/>
                <w:kern w:val="0"/>
                <w:sz w:val="24"/>
              </w:rPr>
              <w:t>股东是否有变动</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基本评价</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val="restart"/>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四、仓库担保单位的相关证明材料</w:t>
            </w: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18.</w:t>
            </w:r>
            <w:r w:rsidRPr="0059583E">
              <w:rPr>
                <w:rFonts w:ascii="仿宋_GB2312" w:eastAsia="仿宋_GB2312" w:hAnsi="宋体" w:cs="宋体" w:hint="eastAsia"/>
                <w:kern w:val="0"/>
                <w:sz w:val="24"/>
              </w:rPr>
              <w:t>营业执照是否合规</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19.</w:t>
            </w:r>
            <w:r w:rsidRPr="0059583E">
              <w:rPr>
                <w:rFonts w:ascii="仿宋_GB2312" w:eastAsia="仿宋_GB2312" w:hAnsi="宋体" w:cs="宋体" w:hint="eastAsia"/>
                <w:kern w:val="0"/>
                <w:sz w:val="24"/>
              </w:rPr>
              <w:t>税务登记证是否合规</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20.</w:t>
            </w:r>
            <w:r w:rsidRPr="0059583E">
              <w:rPr>
                <w:rFonts w:ascii="仿宋_GB2312" w:eastAsia="仿宋_GB2312" w:hAnsi="宋体" w:cs="宋体" w:hint="eastAsia"/>
                <w:kern w:val="0"/>
                <w:sz w:val="24"/>
              </w:rPr>
              <w:t>组织机构代码证是否合规</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729"/>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21.</w:t>
            </w:r>
            <w:r w:rsidRPr="0059583E">
              <w:rPr>
                <w:rFonts w:ascii="仿宋_GB2312" w:eastAsia="仿宋_GB2312" w:hAnsi="宋体" w:cs="宋体" w:hint="eastAsia"/>
                <w:kern w:val="0"/>
                <w:sz w:val="24"/>
              </w:rPr>
              <w:t>年度审计报告或验资报告</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是否规范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22.</w:t>
            </w:r>
            <w:r w:rsidRPr="0059583E">
              <w:rPr>
                <w:rFonts w:ascii="仿宋_GB2312" w:eastAsia="仿宋_GB2312" w:hAnsi="宋体" w:cs="宋体" w:hint="eastAsia"/>
                <w:kern w:val="0"/>
                <w:sz w:val="24"/>
              </w:rPr>
              <w:t>年末总资产</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23.</w:t>
            </w:r>
            <w:r w:rsidRPr="0059583E">
              <w:rPr>
                <w:rFonts w:ascii="仿宋_GB2312" w:eastAsia="仿宋_GB2312" w:hAnsi="宋体" w:cs="宋体" w:hint="eastAsia"/>
                <w:kern w:val="0"/>
                <w:sz w:val="24"/>
              </w:rPr>
              <w:t>年末净资产</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24.</w:t>
            </w:r>
            <w:r w:rsidRPr="0059583E">
              <w:rPr>
                <w:rFonts w:ascii="仿宋_GB2312" w:eastAsia="仿宋_GB2312" w:hAnsi="宋体" w:cs="宋体" w:hint="eastAsia"/>
                <w:kern w:val="0"/>
                <w:sz w:val="24"/>
              </w:rPr>
              <w:t>年末固定资产</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25.</w:t>
            </w:r>
            <w:r w:rsidRPr="0059583E">
              <w:rPr>
                <w:rFonts w:ascii="仿宋_GB2312" w:eastAsia="仿宋_GB2312" w:hAnsi="宋体" w:cs="宋体" w:hint="eastAsia"/>
                <w:kern w:val="0"/>
                <w:sz w:val="24"/>
              </w:rPr>
              <w:t>年末流动资产</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26.</w:t>
            </w:r>
            <w:r w:rsidRPr="0059583E">
              <w:rPr>
                <w:rFonts w:ascii="仿宋_GB2312" w:eastAsia="仿宋_GB2312" w:hAnsi="宋体" w:cs="宋体" w:hint="eastAsia"/>
                <w:kern w:val="0"/>
                <w:sz w:val="24"/>
              </w:rPr>
              <w:t>年末总负债</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27.</w:t>
            </w:r>
            <w:r w:rsidRPr="0059583E">
              <w:rPr>
                <w:rFonts w:ascii="仿宋_GB2312" w:eastAsia="仿宋_GB2312" w:hAnsi="宋体" w:cs="宋体" w:hint="eastAsia"/>
                <w:kern w:val="0"/>
                <w:sz w:val="24"/>
              </w:rPr>
              <w:t>资产负债率</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 xml:space="preserve">　</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2157" w:type="dxa"/>
            <w:tcBorders>
              <w:top w:val="nil"/>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28.</w:t>
            </w:r>
            <w:r w:rsidRPr="0059583E">
              <w:rPr>
                <w:rFonts w:ascii="仿宋_GB2312" w:eastAsia="仿宋_GB2312" w:hAnsi="宋体" w:cs="宋体" w:hint="eastAsia"/>
                <w:kern w:val="0"/>
                <w:sz w:val="24"/>
              </w:rPr>
              <w:t>盈</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亏额</w:t>
            </w:r>
          </w:p>
        </w:tc>
        <w:tc>
          <w:tcPr>
            <w:tcW w:w="1437" w:type="dxa"/>
            <w:tcBorders>
              <w:top w:val="nil"/>
              <w:left w:val="nil"/>
              <w:bottom w:val="single" w:sz="4" w:space="0" w:color="auto"/>
              <w:right w:val="single" w:sz="4" w:space="0" w:color="auto"/>
            </w:tcBorders>
            <w:vAlign w:val="bottom"/>
          </w:tcPr>
          <w:p w:rsidR="00595AD9" w:rsidRPr="0059583E" w:rsidRDefault="00595AD9" w:rsidP="00595AD9">
            <w:pPr>
              <w:widowControl/>
              <w:jc w:val="right"/>
              <w:rPr>
                <w:rFonts w:ascii="仿宋_GB2312" w:eastAsia="仿宋_GB2312" w:hAnsi="宋体" w:cs="宋体"/>
                <w:kern w:val="0"/>
                <w:sz w:val="24"/>
              </w:rPr>
            </w:pPr>
            <w:r w:rsidRPr="0059583E">
              <w:rPr>
                <w:rFonts w:ascii="仿宋_GB2312" w:eastAsia="仿宋_GB2312" w:hAnsi="宋体" w:cs="宋体" w:hint="eastAsia"/>
                <w:kern w:val="0"/>
                <w:sz w:val="24"/>
              </w:rPr>
              <w:t>万元</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同比</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29.</w:t>
            </w:r>
            <w:r w:rsidRPr="0059583E">
              <w:rPr>
                <w:rFonts w:ascii="仿宋_GB2312" w:eastAsia="仿宋_GB2312" w:hAnsi="宋体" w:cs="宋体" w:hint="eastAsia"/>
                <w:kern w:val="0"/>
                <w:sz w:val="24"/>
              </w:rPr>
              <w:t>股东是否有变动</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803"/>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30.</w:t>
            </w:r>
            <w:r w:rsidRPr="0059583E">
              <w:rPr>
                <w:rFonts w:ascii="仿宋_GB2312" w:eastAsia="仿宋_GB2312" w:hAnsi="宋体" w:cs="宋体" w:hint="eastAsia"/>
                <w:kern w:val="0"/>
                <w:sz w:val="24"/>
              </w:rPr>
              <w:t>与交割仓库关系</w:t>
            </w:r>
          </w:p>
        </w:tc>
        <w:tc>
          <w:tcPr>
            <w:tcW w:w="2410" w:type="dxa"/>
            <w:tcBorders>
              <w:top w:val="single" w:sz="4" w:space="0" w:color="auto"/>
              <w:left w:val="nil"/>
              <w:bottom w:val="single" w:sz="4" w:space="0" w:color="auto"/>
              <w:right w:val="single" w:sz="4" w:space="0" w:color="auto"/>
            </w:tcBorders>
          </w:tcPr>
          <w:p w:rsidR="00595AD9" w:rsidRPr="0059583E" w:rsidRDefault="00595AD9" w:rsidP="00595AD9">
            <w:pPr>
              <w:widowControl/>
              <w:rPr>
                <w:rFonts w:ascii="仿宋_GB2312" w:eastAsia="仿宋_GB2312" w:hAnsi="宋体" w:cs="宋体"/>
                <w:kern w:val="0"/>
                <w:sz w:val="24"/>
              </w:rPr>
            </w:pPr>
            <w:r w:rsidRPr="0059583E">
              <w:rPr>
                <w:rFonts w:ascii="仿宋_GB2312" w:eastAsia="仿宋_GB2312" w:hAnsi="宋体" w:cs="宋体" w:hint="eastAsia"/>
                <w:kern w:val="0"/>
                <w:sz w:val="24"/>
              </w:rPr>
              <w:t>仓库母公司</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仓库下属单位</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同一主体控股</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其他</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773"/>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31.</w:t>
            </w:r>
            <w:r w:rsidRPr="0059583E">
              <w:rPr>
                <w:rFonts w:ascii="仿宋_GB2312" w:eastAsia="仿宋_GB2312" w:hAnsi="宋体" w:cs="宋体" w:hint="eastAsia"/>
                <w:kern w:val="0"/>
                <w:sz w:val="24"/>
              </w:rPr>
              <w:t>是否持有交割仓库股份，如是，请简要说明</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890"/>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32.</w:t>
            </w:r>
            <w:r w:rsidRPr="0059583E">
              <w:rPr>
                <w:rFonts w:ascii="仿宋_GB2312" w:eastAsia="仿宋_GB2312" w:hAnsi="宋体" w:cs="宋体" w:hint="eastAsia"/>
                <w:kern w:val="0"/>
                <w:sz w:val="24"/>
              </w:rPr>
              <w:t>交割仓库是否持有担保单位股份，如是，请简要说明</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511"/>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33.</w:t>
            </w:r>
            <w:r w:rsidRPr="0059583E">
              <w:rPr>
                <w:rFonts w:ascii="仿宋_GB2312" w:eastAsia="仿宋_GB2312" w:hAnsi="宋体" w:cs="宋体" w:hint="eastAsia"/>
                <w:kern w:val="0"/>
                <w:sz w:val="24"/>
              </w:rPr>
              <w:t>是否是交割仓库的实际控制人</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r w:rsidRPr="0059583E">
              <w:rPr>
                <w:rFonts w:ascii="仿宋_GB2312" w:eastAsia="仿宋_GB2312" w:hAnsi="宋体" w:cs="宋体" w:hint="eastAsia"/>
                <w:kern w:val="0"/>
                <w:sz w:val="24"/>
              </w:rPr>
              <w:t>是</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否</w:t>
            </w: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499"/>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000000"/>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基本评价</w:t>
            </w:r>
          </w:p>
        </w:tc>
        <w:tc>
          <w:tcPr>
            <w:tcW w:w="2410" w:type="dxa"/>
            <w:tcBorders>
              <w:top w:val="single" w:sz="4" w:space="0" w:color="auto"/>
              <w:left w:val="nil"/>
              <w:bottom w:val="single" w:sz="4" w:space="0" w:color="auto"/>
              <w:right w:val="single" w:sz="4" w:space="0" w:color="000000"/>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1109"/>
        </w:trPr>
        <w:tc>
          <w:tcPr>
            <w:tcW w:w="1099" w:type="dxa"/>
            <w:vMerge w:val="restart"/>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五</w:t>
            </w:r>
            <w:r w:rsidRPr="0059583E">
              <w:rPr>
                <w:rFonts w:ascii="仿宋_GB2312" w:eastAsia="仿宋_GB2312" w:hAnsi="宋体" w:cs="宋体"/>
                <w:kern w:val="0"/>
                <w:sz w:val="24"/>
              </w:rPr>
              <w:t>.</w:t>
            </w:r>
            <w:r w:rsidRPr="0059583E">
              <w:rPr>
                <w:rFonts w:ascii="仿宋_GB2312" w:eastAsia="仿宋_GB2312" w:hAnsi="宋体" w:cs="宋体" w:hint="eastAsia"/>
                <w:kern w:val="0"/>
                <w:sz w:val="24"/>
              </w:rPr>
              <w:t>期货交割业务开展</w:t>
            </w:r>
            <w:r w:rsidRPr="0059583E">
              <w:rPr>
                <w:rFonts w:ascii="仿宋_GB2312" w:eastAsia="仿宋_GB2312" w:hAnsi="宋体" w:cs="宋体" w:hint="eastAsia"/>
                <w:kern w:val="0"/>
                <w:sz w:val="24"/>
              </w:rPr>
              <w:lastRenderedPageBreak/>
              <w:t>情况</w:t>
            </w: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lastRenderedPageBreak/>
              <w:t>34.</w:t>
            </w:r>
            <w:r w:rsidRPr="0059583E">
              <w:rPr>
                <w:rFonts w:ascii="仿宋_GB2312" w:eastAsia="仿宋_GB2312" w:hAnsi="宋体" w:cs="宋体" w:hint="eastAsia"/>
                <w:kern w:val="0"/>
                <w:sz w:val="24"/>
              </w:rPr>
              <w:t>除本交易所外，还是哪些期货交易所哪些交易品种的指定交割仓库</w:t>
            </w:r>
            <w:r w:rsidRPr="0059583E">
              <w:rPr>
                <w:rFonts w:ascii="仿宋_GB2312" w:eastAsia="仿宋_GB2312" w:hAnsi="宋体" w:cs="宋体"/>
                <w:kern w:val="0"/>
                <w:sz w:val="24"/>
              </w:rPr>
              <w:t xml:space="preserve"> </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35.</w:t>
            </w:r>
            <w:r w:rsidRPr="0059583E">
              <w:rPr>
                <w:rFonts w:ascii="仿宋_GB2312" w:eastAsia="仿宋_GB2312" w:hAnsi="宋体" w:cs="宋体" w:hint="eastAsia"/>
                <w:kern w:val="0"/>
                <w:sz w:val="24"/>
              </w:rPr>
              <w:t>本年度有注册仓单的期货品种</w:t>
            </w:r>
          </w:p>
        </w:tc>
        <w:tc>
          <w:tcPr>
            <w:tcW w:w="2410" w:type="dxa"/>
            <w:tcBorders>
              <w:top w:val="single" w:sz="4" w:space="0" w:color="auto"/>
              <w:left w:val="single" w:sz="4" w:space="0" w:color="auto"/>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773"/>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36.</w:t>
            </w:r>
            <w:r w:rsidRPr="0059583E">
              <w:rPr>
                <w:rFonts w:ascii="仿宋_GB2312" w:eastAsia="仿宋_GB2312" w:hAnsi="宋体" w:cs="宋体" w:hint="eastAsia"/>
                <w:kern w:val="0"/>
                <w:sz w:val="24"/>
              </w:rPr>
              <w:t>仓单注册量（品种</w:t>
            </w:r>
            <w:r w:rsidRPr="0059583E">
              <w:rPr>
                <w:rFonts w:ascii="仿宋_GB2312" w:eastAsia="仿宋_GB2312" w:hAnsi="宋体" w:cs="宋体"/>
                <w:kern w:val="0"/>
                <w:sz w:val="24"/>
              </w:rPr>
              <w:t>1</w:t>
            </w:r>
            <w:r w:rsidRPr="0059583E">
              <w:rPr>
                <w:rFonts w:ascii="仿宋_GB2312" w:eastAsia="仿宋_GB2312" w:hAnsi="宋体" w:cs="宋体" w:hint="eastAsia"/>
                <w:kern w:val="0"/>
                <w:sz w:val="24"/>
              </w:rPr>
              <w:t>、品种</w:t>
            </w:r>
            <w:r w:rsidRPr="0059583E">
              <w:rPr>
                <w:rFonts w:ascii="仿宋_GB2312" w:eastAsia="仿宋_GB2312" w:hAnsi="宋体" w:cs="宋体"/>
                <w:kern w:val="0"/>
                <w:sz w:val="24"/>
              </w:rPr>
              <w:t>2</w:t>
            </w:r>
            <w:r w:rsidRPr="0059583E">
              <w:rPr>
                <w:rFonts w:ascii="仿宋_GB2312" w:eastAsia="仿宋_GB2312" w:hAnsi="宋体" w:cs="宋体" w:hint="eastAsia"/>
                <w:kern w:val="0"/>
                <w:sz w:val="24"/>
              </w:rPr>
              <w:t>、品种</w:t>
            </w:r>
            <w:r w:rsidRPr="0059583E">
              <w:rPr>
                <w:rFonts w:ascii="仿宋_GB2312" w:eastAsia="仿宋_GB2312" w:hAnsi="宋体" w:cs="宋体"/>
                <w:kern w:val="0"/>
                <w:sz w:val="24"/>
              </w:rPr>
              <w:t>3</w:t>
            </w:r>
            <w:r w:rsidRPr="0059583E">
              <w:rPr>
                <w:rFonts w:ascii="仿宋_GB2312" w:eastAsia="仿宋_GB2312" w:hAnsi="宋体" w:cs="宋体" w:hint="eastAsia"/>
                <w:kern w:val="0"/>
                <w:sz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729"/>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kern w:val="0"/>
                <w:sz w:val="24"/>
              </w:rPr>
              <w:t>37.</w:t>
            </w:r>
            <w:r w:rsidRPr="0059583E">
              <w:rPr>
                <w:rFonts w:ascii="仿宋_GB2312" w:eastAsia="仿宋_GB2312" w:hAnsi="宋体" w:cs="宋体" w:hint="eastAsia"/>
                <w:kern w:val="0"/>
                <w:sz w:val="24"/>
              </w:rPr>
              <w:t>仓单注销量（品种</w:t>
            </w:r>
            <w:r w:rsidRPr="0059583E">
              <w:rPr>
                <w:rFonts w:ascii="仿宋_GB2312" w:eastAsia="仿宋_GB2312" w:hAnsi="宋体" w:cs="宋体"/>
                <w:kern w:val="0"/>
                <w:sz w:val="24"/>
              </w:rPr>
              <w:t>1</w:t>
            </w:r>
            <w:r w:rsidRPr="0059583E">
              <w:rPr>
                <w:rFonts w:ascii="仿宋_GB2312" w:eastAsia="仿宋_GB2312" w:hAnsi="宋体" w:cs="宋体" w:hint="eastAsia"/>
                <w:kern w:val="0"/>
                <w:sz w:val="24"/>
              </w:rPr>
              <w:t>、品种</w:t>
            </w:r>
            <w:r w:rsidRPr="0059583E">
              <w:rPr>
                <w:rFonts w:ascii="仿宋_GB2312" w:eastAsia="仿宋_GB2312" w:hAnsi="宋体" w:cs="宋体"/>
                <w:kern w:val="0"/>
                <w:sz w:val="24"/>
              </w:rPr>
              <w:t>2</w:t>
            </w:r>
            <w:r w:rsidRPr="0059583E">
              <w:rPr>
                <w:rFonts w:ascii="仿宋_GB2312" w:eastAsia="仿宋_GB2312" w:hAnsi="宋体" w:cs="宋体" w:hint="eastAsia"/>
                <w:kern w:val="0"/>
                <w:sz w:val="24"/>
              </w:rPr>
              <w:t>、品种</w:t>
            </w:r>
            <w:r>
              <w:rPr>
                <w:rFonts w:ascii="仿宋_GB2312" w:eastAsia="仿宋_GB2312" w:hAnsi="宋体" w:cs="宋体"/>
                <w:kern w:val="0"/>
                <w:sz w:val="24"/>
              </w:rPr>
              <w:t>3</w:t>
            </w:r>
            <w:r w:rsidRPr="0059583E">
              <w:rPr>
                <w:rFonts w:ascii="仿宋_GB2312" w:eastAsia="仿宋_GB2312" w:hAnsi="宋体" w:cs="宋体" w:hint="eastAsia"/>
                <w:kern w:val="0"/>
                <w:sz w:val="24"/>
              </w:rPr>
              <w:t>）</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基本评价</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803"/>
        </w:trPr>
        <w:tc>
          <w:tcPr>
            <w:tcW w:w="1099" w:type="dxa"/>
            <w:vMerge w:val="restart"/>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六、其他需要年审的内容</w:t>
            </w: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 xml:space="preserve">　</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919"/>
        </w:trPr>
        <w:tc>
          <w:tcPr>
            <w:tcW w:w="1099" w:type="dxa"/>
            <w:vMerge/>
            <w:tcBorders>
              <w:top w:val="nil"/>
              <w:left w:val="single" w:sz="4" w:space="0" w:color="auto"/>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p>
        </w:tc>
        <w:tc>
          <w:tcPr>
            <w:tcW w:w="3594" w:type="dxa"/>
            <w:gridSpan w:val="2"/>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基本评价</w:t>
            </w:r>
          </w:p>
        </w:tc>
        <w:tc>
          <w:tcPr>
            <w:tcW w:w="2410" w:type="dxa"/>
            <w:tcBorders>
              <w:top w:val="single" w:sz="4" w:space="0" w:color="auto"/>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c>
          <w:tcPr>
            <w:tcW w:w="2241" w:type="dxa"/>
            <w:tcBorders>
              <w:top w:val="nil"/>
              <w:left w:val="nil"/>
              <w:bottom w:val="single" w:sz="4" w:space="0" w:color="auto"/>
              <w:right w:val="single" w:sz="4" w:space="0" w:color="auto"/>
            </w:tcBorders>
            <w:vAlign w:val="center"/>
          </w:tcPr>
          <w:p w:rsidR="00595AD9" w:rsidRPr="0059583E" w:rsidRDefault="00595AD9" w:rsidP="00595AD9">
            <w:pPr>
              <w:widowControl/>
              <w:jc w:val="center"/>
              <w:rPr>
                <w:rFonts w:ascii="仿宋_GB2312" w:eastAsia="仿宋_GB2312" w:hAnsi="宋体" w:cs="宋体"/>
                <w:kern w:val="0"/>
                <w:sz w:val="24"/>
              </w:rPr>
            </w:pPr>
          </w:p>
        </w:tc>
      </w:tr>
      <w:tr w:rsidR="00595AD9" w:rsidRPr="00C80407">
        <w:trPr>
          <w:trHeight w:val="365"/>
        </w:trPr>
        <w:tc>
          <w:tcPr>
            <w:tcW w:w="9344" w:type="dxa"/>
            <w:gridSpan w:val="5"/>
            <w:tcBorders>
              <w:top w:val="single" w:sz="4" w:space="0" w:color="auto"/>
              <w:left w:val="nil"/>
              <w:bottom w:val="nil"/>
              <w:right w:val="nil"/>
            </w:tcBorders>
            <w:vAlign w:val="center"/>
          </w:tcPr>
          <w:p w:rsidR="00595AD9" w:rsidRPr="0059583E" w:rsidRDefault="00595AD9" w:rsidP="00595AD9">
            <w:pPr>
              <w:widowControl/>
              <w:jc w:val="left"/>
              <w:rPr>
                <w:rFonts w:ascii="仿宋_GB2312" w:eastAsia="仿宋_GB2312" w:hAnsi="宋体" w:cs="宋体"/>
                <w:kern w:val="0"/>
                <w:sz w:val="24"/>
              </w:rPr>
            </w:pPr>
            <w:r w:rsidRPr="0059583E">
              <w:rPr>
                <w:rFonts w:ascii="仿宋_GB2312" w:eastAsia="仿宋_GB2312" w:hAnsi="宋体" w:cs="宋体" w:hint="eastAsia"/>
                <w:kern w:val="0"/>
                <w:sz w:val="24"/>
              </w:rPr>
              <w:t>对该仓库总体评价及工作建议：</w:t>
            </w:r>
          </w:p>
        </w:tc>
      </w:tr>
    </w:tbl>
    <w:p w:rsidR="00595AD9" w:rsidRPr="0059583E" w:rsidRDefault="00595AD9" w:rsidP="00595AD9"/>
    <w:p w:rsidR="00595AD9" w:rsidRPr="004A2B66" w:rsidRDefault="00595AD9" w:rsidP="00595AD9">
      <w:pPr>
        <w:rPr>
          <w:rFonts w:ascii="仿宋_GB2312" w:eastAsia="仿宋_GB2312"/>
          <w:sz w:val="32"/>
          <w:szCs w:val="32"/>
        </w:rPr>
      </w:pPr>
    </w:p>
    <w:p w:rsidR="00595AD9" w:rsidRDefault="00595AD9" w:rsidP="00595AD9">
      <w:pPr>
        <w:rPr>
          <w:rFonts w:ascii="仿宋_GB2312" w:eastAsia="仿宋_GB2312"/>
          <w:sz w:val="32"/>
          <w:szCs w:val="32"/>
        </w:rPr>
      </w:pPr>
    </w:p>
    <w:p w:rsidR="00595AD9" w:rsidRDefault="00595AD9" w:rsidP="00595AD9">
      <w:pPr>
        <w:rPr>
          <w:rFonts w:ascii="仿宋_GB2312" w:eastAsia="仿宋_GB2312"/>
          <w:sz w:val="32"/>
          <w:szCs w:val="32"/>
        </w:rPr>
      </w:pPr>
    </w:p>
    <w:p w:rsidR="00595AD9" w:rsidRDefault="00595AD9" w:rsidP="00595AD9">
      <w:pPr>
        <w:rPr>
          <w:rFonts w:ascii="仿宋_GB2312" w:eastAsia="仿宋_GB2312"/>
          <w:sz w:val="32"/>
          <w:szCs w:val="32"/>
        </w:rPr>
      </w:pPr>
    </w:p>
    <w:p w:rsidR="00595AD9" w:rsidRDefault="00595AD9" w:rsidP="00595AD9">
      <w:pPr>
        <w:rPr>
          <w:rFonts w:ascii="仿宋_GB2312" w:eastAsia="仿宋_GB2312"/>
          <w:sz w:val="32"/>
          <w:szCs w:val="32"/>
        </w:rPr>
      </w:pPr>
    </w:p>
    <w:p w:rsidR="00595AD9" w:rsidRDefault="005D069D" w:rsidP="00595AD9">
      <w:pPr>
        <w:rPr>
          <w:rFonts w:ascii="仿宋_GB2312" w:eastAsia="仿宋_GB2312"/>
          <w:sz w:val="32"/>
          <w:szCs w:val="32"/>
        </w:rPr>
      </w:pPr>
      <w:r>
        <w:rPr>
          <w:rFonts w:ascii="仿宋_GB2312" w:eastAsia="仿宋_GB2312"/>
          <w:sz w:val="32"/>
          <w:szCs w:val="32"/>
        </w:rPr>
        <w:t xml:space="preserve"> </w:t>
      </w:r>
    </w:p>
    <w:p w:rsidR="001761B5" w:rsidRPr="001761B5" w:rsidRDefault="001761B5" w:rsidP="00595AD9"/>
    <w:sectPr w:rsidR="001761B5" w:rsidRPr="001761B5" w:rsidSect="00595AD9">
      <w:footerReference w:type="even" r:id="rId8"/>
      <w:footerReference w:type="default" r:id="rId9"/>
      <w:pgSz w:w="11906" w:h="16838"/>
      <w:pgMar w:top="2098" w:right="1588" w:bottom="1718" w:left="1588" w:header="851" w:footer="138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ECF" w:rsidRDefault="00364ECF">
      <w:r>
        <w:separator/>
      </w:r>
    </w:p>
  </w:endnote>
  <w:endnote w:type="continuationSeparator" w:id="1">
    <w:p w:rsidR="00364ECF" w:rsidRDefault="0036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16" w:rsidRDefault="00D628DA" w:rsidP="00D85136">
    <w:pPr>
      <w:pStyle w:val="a3"/>
      <w:framePr w:wrap="around" w:vAnchor="text" w:hAnchor="margin" w:xAlign="outside" w:y="1"/>
      <w:rPr>
        <w:rStyle w:val="a4"/>
      </w:rPr>
    </w:pPr>
    <w:r>
      <w:rPr>
        <w:rStyle w:val="a4"/>
      </w:rPr>
      <w:fldChar w:fldCharType="begin"/>
    </w:r>
    <w:r w:rsidR="00C16516">
      <w:rPr>
        <w:rStyle w:val="a4"/>
      </w:rPr>
      <w:instrText xml:space="preserve">PAGE  </w:instrText>
    </w:r>
    <w:r>
      <w:rPr>
        <w:rStyle w:val="a4"/>
      </w:rPr>
      <w:fldChar w:fldCharType="separate"/>
    </w:r>
    <w:r w:rsidR="00C16516">
      <w:rPr>
        <w:rStyle w:val="a4"/>
        <w:noProof/>
      </w:rPr>
      <w:t>3</w:t>
    </w:r>
    <w:r>
      <w:rPr>
        <w:rStyle w:val="a4"/>
      </w:rPr>
      <w:fldChar w:fldCharType="end"/>
    </w:r>
  </w:p>
  <w:p w:rsidR="00C16516" w:rsidRDefault="00C1651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16" w:rsidRPr="00D85136" w:rsidRDefault="00C16516" w:rsidP="00D16B22">
    <w:pPr>
      <w:pStyle w:val="a3"/>
      <w:framePr w:wrap="around" w:vAnchor="text" w:hAnchor="margin" w:xAlign="outside" w:y="1"/>
      <w:rPr>
        <w:rStyle w:val="a4"/>
        <w:sz w:val="28"/>
        <w:szCs w:val="28"/>
      </w:rPr>
    </w:pPr>
    <w:r>
      <w:rPr>
        <w:rStyle w:val="a4"/>
        <w:rFonts w:ascii="宋体" w:hAnsi="宋体" w:hint="eastAsia"/>
        <w:sz w:val="28"/>
        <w:szCs w:val="28"/>
      </w:rPr>
      <w:t xml:space="preserve">— </w:t>
    </w:r>
    <w:r w:rsidR="00D628DA" w:rsidRPr="00D85136">
      <w:rPr>
        <w:rStyle w:val="a4"/>
        <w:sz w:val="28"/>
        <w:szCs w:val="28"/>
      </w:rPr>
      <w:fldChar w:fldCharType="begin"/>
    </w:r>
    <w:r w:rsidRPr="00D85136">
      <w:rPr>
        <w:rStyle w:val="a4"/>
        <w:sz w:val="28"/>
        <w:szCs w:val="28"/>
      </w:rPr>
      <w:instrText xml:space="preserve">PAGE  </w:instrText>
    </w:r>
    <w:r w:rsidR="00D628DA" w:rsidRPr="00D85136">
      <w:rPr>
        <w:rStyle w:val="a4"/>
        <w:sz w:val="28"/>
        <w:szCs w:val="28"/>
      </w:rPr>
      <w:fldChar w:fldCharType="separate"/>
    </w:r>
    <w:r w:rsidR="00D2462C">
      <w:rPr>
        <w:rStyle w:val="a4"/>
        <w:noProof/>
        <w:sz w:val="28"/>
        <w:szCs w:val="28"/>
      </w:rPr>
      <w:t>11</w:t>
    </w:r>
    <w:r w:rsidR="00D628DA" w:rsidRPr="00D85136">
      <w:rPr>
        <w:rStyle w:val="a4"/>
        <w:sz w:val="28"/>
        <w:szCs w:val="28"/>
      </w:rPr>
      <w:fldChar w:fldCharType="end"/>
    </w:r>
    <w:r>
      <w:rPr>
        <w:rStyle w:val="a4"/>
        <w:rFonts w:hint="eastAsia"/>
        <w:sz w:val="28"/>
        <w:szCs w:val="28"/>
      </w:rPr>
      <w:t xml:space="preserve"> </w:t>
    </w:r>
    <w:r>
      <w:rPr>
        <w:rStyle w:val="a4"/>
        <w:rFonts w:ascii="宋体" w:hAnsi="宋体" w:hint="eastAsia"/>
        <w:sz w:val="28"/>
        <w:szCs w:val="28"/>
      </w:rPr>
      <w:t>—</w:t>
    </w:r>
  </w:p>
  <w:p w:rsidR="00C16516" w:rsidRDefault="00C16516" w:rsidP="00D85136">
    <w:pPr>
      <w:pStyle w:val="a3"/>
      <w:ind w:right="360" w:firstLine="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ECF" w:rsidRDefault="00364ECF">
      <w:r>
        <w:separator/>
      </w:r>
    </w:p>
  </w:footnote>
  <w:footnote w:type="continuationSeparator" w:id="1">
    <w:p w:rsidR="00364ECF" w:rsidRDefault="00364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616"/>
    <w:multiLevelType w:val="hybridMultilevel"/>
    <w:tmpl w:val="D4020EB6"/>
    <w:lvl w:ilvl="0" w:tplc="B56C5CC0">
      <w:start w:val="1"/>
      <w:numFmt w:val="chineseCountingThousand"/>
      <w:lvlText w:val="第%1条"/>
      <w:lvlJc w:val="left"/>
      <w:pPr>
        <w:tabs>
          <w:tab w:val="num" w:pos="601"/>
        </w:tabs>
        <w:ind w:firstLine="600"/>
      </w:pPr>
      <w:rPr>
        <w:rFonts w:cs="Times New Roman" w:hint="default"/>
      </w:rPr>
    </w:lvl>
    <w:lvl w:ilvl="1" w:tplc="FEEC39E2">
      <w:start w:val="1"/>
      <w:numFmt w:val="chineseCountingThousand"/>
      <w:lvlText w:val="（%2）"/>
      <w:lvlJc w:val="left"/>
      <w:pPr>
        <w:tabs>
          <w:tab w:val="num" w:pos="601"/>
        </w:tabs>
        <w:ind w:firstLine="601"/>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37715A6"/>
    <w:multiLevelType w:val="hybridMultilevel"/>
    <w:tmpl w:val="C80AD8E2"/>
    <w:lvl w:ilvl="0" w:tplc="8742707C">
      <w:start w:val="1"/>
      <w:numFmt w:val="chineseCountingThousand"/>
      <w:lvlText w:val="第%1条"/>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
    <w:nsid w:val="04061C79"/>
    <w:multiLevelType w:val="hybridMultilevel"/>
    <w:tmpl w:val="B7D4BCE2"/>
    <w:lvl w:ilvl="0" w:tplc="30F8033E">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3">
    <w:nsid w:val="05763370"/>
    <w:multiLevelType w:val="hybridMultilevel"/>
    <w:tmpl w:val="0F1AC79C"/>
    <w:lvl w:ilvl="0" w:tplc="77BE19C2">
      <w:start w:val="1"/>
      <w:numFmt w:val="chineseCountingThousand"/>
      <w:lvlText w:val="第%1节"/>
      <w:lvlJc w:val="left"/>
      <w:pPr>
        <w:tabs>
          <w:tab w:val="num" w:pos="601"/>
        </w:tabs>
        <w:ind w:firstLine="60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09AF2EB7"/>
    <w:multiLevelType w:val="hybridMultilevel"/>
    <w:tmpl w:val="7E6C6190"/>
    <w:lvl w:ilvl="0" w:tplc="4EE871C2">
      <w:start w:val="1"/>
      <w:numFmt w:val="japaneseCounting"/>
      <w:lvlText w:val="（%1）"/>
      <w:lvlJc w:val="left"/>
      <w:pPr>
        <w:tabs>
          <w:tab w:val="num" w:pos="1680"/>
        </w:tabs>
        <w:ind w:left="1680" w:hanging="108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5">
    <w:nsid w:val="0C055695"/>
    <w:multiLevelType w:val="hybridMultilevel"/>
    <w:tmpl w:val="C1DA5D7E"/>
    <w:lvl w:ilvl="0" w:tplc="B35EAE74">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6">
    <w:nsid w:val="0DF3595B"/>
    <w:multiLevelType w:val="hybridMultilevel"/>
    <w:tmpl w:val="250CBE14"/>
    <w:lvl w:ilvl="0" w:tplc="0E205D0E">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7">
    <w:nsid w:val="0E062B34"/>
    <w:multiLevelType w:val="hybridMultilevel"/>
    <w:tmpl w:val="78C45FC8"/>
    <w:lvl w:ilvl="0" w:tplc="5E80AA1C">
      <w:start w:val="1"/>
      <w:numFmt w:val="decimal"/>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8">
    <w:nsid w:val="14A10E69"/>
    <w:multiLevelType w:val="hybridMultilevel"/>
    <w:tmpl w:val="EA706EA4"/>
    <w:lvl w:ilvl="0" w:tplc="54AA8508">
      <w:start w:val="1"/>
      <w:numFmt w:val="decimal"/>
      <w:lvlText w:val="%1．"/>
      <w:lvlJc w:val="left"/>
      <w:pPr>
        <w:ind w:left="1650" w:hanging="1050"/>
      </w:pPr>
      <w:rPr>
        <w:rFonts w:cs="仿宋_GB2312"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9">
    <w:nsid w:val="17D875AE"/>
    <w:multiLevelType w:val="hybridMultilevel"/>
    <w:tmpl w:val="FB6892D6"/>
    <w:lvl w:ilvl="0" w:tplc="3230D86A">
      <w:start w:val="1"/>
      <w:numFmt w:val="japaneseCounting"/>
      <w:lvlText w:val="（%1）"/>
      <w:lvlJc w:val="left"/>
      <w:pPr>
        <w:tabs>
          <w:tab w:val="num" w:pos="1680"/>
        </w:tabs>
        <w:ind w:left="1680" w:hanging="108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0">
    <w:nsid w:val="1CBF728F"/>
    <w:multiLevelType w:val="hybridMultilevel"/>
    <w:tmpl w:val="44C233A4"/>
    <w:lvl w:ilvl="0" w:tplc="1ED4ED7E">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310E2F1C"/>
    <w:multiLevelType w:val="hybridMultilevel"/>
    <w:tmpl w:val="2A74FB9C"/>
    <w:lvl w:ilvl="0" w:tplc="57025724">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2">
    <w:nsid w:val="34876C59"/>
    <w:multiLevelType w:val="hybridMultilevel"/>
    <w:tmpl w:val="94C49C48"/>
    <w:lvl w:ilvl="0" w:tplc="3864C18C">
      <w:start w:val="1"/>
      <w:numFmt w:val="japaneseCounting"/>
      <w:lvlText w:val="（%1）"/>
      <w:lvlJc w:val="left"/>
      <w:pPr>
        <w:ind w:left="1620" w:hanging="1080"/>
      </w:pPr>
      <w:rPr>
        <w:rFonts w:cs="Times New Roman" w:hint="default"/>
      </w:rPr>
    </w:lvl>
    <w:lvl w:ilvl="1" w:tplc="04090019">
      <w:start w:val="1"/>
      <w:numFmt w:val="lowerLetter"/>
      <w:lvlText w:val="%2)"/>
      <w:lvlJc w:val="left"/>
      <w:pPr>
        <w:ind w:left="1380" w:hanging="420"/>
      </w:pPr>
      <w:rPr>
        <w:rFonts w:cs="Times New Roman"/>
      </w:rPr>
    </w:lvl>
    <w:lvl w:ilvl="2" w:tplc="0409001B">
      <w:start w:val="1"/>
      <w:numFmt w:val="lowerRoman"/>
      <w:lvlText w:val="%3."/>
      <w:lvlJc w:val="right"/>
      <w:pPr>
        <w:ind w:left="1800" w:hanging="420"/>
      </w:pPr>
      <w:rPr>
        <w:rFonts w:cs="Times New Roman"/>
      </w:rPr>
    </w:lvl>
    <w:lvl w:ilvl="3" w:tplc="0409000F">
      <w:start w:val="1"/>
      <w:numFmt w:val="decimal"/>
      <w:lvlText w:val="%4."/>
      <w:lvlJc w:val="left"/>
      <w:pPr>
        <w:ind w:left="2220" w:hanging="420"/>
      </w:pPr>
      <w:rPr>
        <w:rFonts w:cs="Times New Roman"/>
      </w:rPr>
    </w:lvl>
    <w:lvl w:ilvl="4" w:tplc="04090019">
      <w:start w:val="1"/>
      <w:numFmt w:val="lowerLetter"/>
      <w:lvlText w:val="%5)"/>
      <w:lvlJc w:val="left"/>
      <w:pPr>
        <w:ind w:left="2640" w:hanging="420"/>
      </w:pPr>
      <w:rPr>
        <w:rFonts w:cs="Times New Roman"/>
      </w:rPr>
    </w:lvl>
    <w:lvl w:ilvl="5" w:tplc="0409001B">
      <w:start w:val="1"/>
      <w:numFmt w:val="lowerRoman"/>
      <w:lvlText w:val="%6."/>
      <w:lvlJc w:val="right"/>
      <w:pPr>
        <w:ind w:left="3060" w:hanging="420"/>
      </w:pPr>
      <w:rPr>
        <w:rFonts w:cs="Times New Roman"/>
      </w:rPr>
    </w:lvl>
    <w:lvl w:ilvl="6" w:tplc="0409000F">
      <w:start w:val="1"/>
      <w:numFmt w:val="decimal"/>
      <w:lvlText w:val="%7."/>
      <w:lvlJc w:val="left"/>
      <w:pPr>
        <w:ind w:left="3480" w:hanging="420"/>
      </w:pPr>
      <w:rPr>
        <w:rFonts w:cs="Times New Roman"/>
      </w:rPr>
    </w:lvl>
    <w:lvl w:ilvl="7" w:tplc="04090019">
      <w:start w:val="1"/>
      <w:numFmt w:val="lowerLetter"/>
      <w:lvlText w:val="%8)"/>
      <w:lvlJc w:val="left"/>
      <w:pPr>
        <w:ind w:left="3900" w:hanging="420"/>
      </w:pPr>
      <w:rPr>
        <w:rFonts w:cs="Times New Roman"/>
      </w:rPr>
    </w:lvl>
    <w:lvl w:ilvl="8" w:tplc="0409001B">
      <w:start w:val="1"/>
      <w:numFmt w:val="lowerRoman"/>
      <w:lvlText w:val="%9."/>
      <w:lvlJc w:val="right"/>
      <w:pPr>
        <w:ind w:left="4320" w:hanging="420"/>
      </w:pPr>
      <w:rPr>
        <w:rFonts w:cs="Times New Roman"/>
      </w:rPr>
    </w:lvl>
  </w:abstractNum>
  <w:abstractNum w:abstractNumId="13">
    <w:nsid w:val="3753250F"/>
    <w:multiLevelType w:val="hybridMultilevel"/>
    <w:tmpl w:val="2298AD06"/>
    <w:lvl w:ilvl="0" w:tplc="F190E6D6">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4">
    <w:nsid w:val="40A65330"/>
    <w:multiLevelType w:val="hybridMultilevel"/>
    <w:tmpl w:val="215C230A"/>
    <w:lvl w:ilvl="0" w:tplc="3760DA68">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410344BD"/>
    <w:multiLevelType w:val="hybridMultilevel"/>
    <w:tmpl w:val="A2DA24C2"/>
    <w:lvl w:ilvl="0" w:tplc="CC28A46E">
      <w:start w:val="1"/>
      <w:numFmt w:val="chineseCountingThousand"/>
      <w:lvlText w:val="第%1条"/>
      <w:lvlJc w:val="left"/>
      <w:pPr>
        <w:ind w:left="2264" w:hanging="420"/>
      </w:pPr>
      <w:rPr>
        <w:rFonts w:cs="Times New Roman" w:hint="eastAsia"/>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6">
    <w:nsid w:val="4B4D0D21"/>
    <w:multiLevelType w:val="hybridMultilevel"/>
    <w:tmpl w:val="50DED9E6"/>
    <w:lvl w:ilvl="0" w:tplc="621A1A32">
      <w:start w:val="1"/>
      <w:numFmt w:val="japaneseCounting"/>
      <w:lvlText w:val="（%1）"/>
      <w:lvlJc w:val="left"/>
      <w:pPr>
        <w:tabs>
          <w:tab w:val="num" w:pos="1680"/>
        </w:tabs>
        <w:ind w:left="1680" w:hanging="108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7">
    <w:nsid w:val="4CCD0AAC"/>
    <w:multiLevelType w:val="hybridMultilevel"/>
    <w:tmpl w:val="457C347A"/>
    <w:lvl w:ilvl="0" w:tplc="736EC748">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8">
    <w:nsid w:val="52A66C8A"/>
    <w:multiLevelType w:val="hybridMultilevel"/>
    <w:tmpl w:val="943675AC"/>
    <w:lvl w:ilvl="0" w:tplc="CCC66C3C">
      <w:start w:val="1"/>
      <w:numFmt w:val="chineseCountingThousand"/>
      <w:lvlText w:val="第%1条"/>
      <w:lvlJc w:val="left"/>
      <w:pPr>
        <w:ind w:firstLine="60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536B667F"/>
    <w:multiLevelType w:val="hybridMultilevel"/>
    <w:tmpl w:val="10AA8800"/>
    <w:lvl w:ilvl="0" w:tplc="F048C22A">
      <w:start w:val="1"/>
      <w:numFmt w:val="japaneseCounting"/>
      <w:lvlText w:val="（%1）"/>
      <w:lvlJc w:val="left"/>
      <w:pPr>
        <w:tabs>
          <w:tab w:val="num" w:pos="601"/>
        </w:tabs>
        <w:ind w:firstLine="600"/>
      </w:pPr>
      <w:rPr>
        <w:rFonts w:ascii="仿宋_GB2312" w:eastAsia="仿宋_GB2312" w:hAnsi="仿宋" w:cs="Times New Roman"/>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0">
    <w:nsid w:val="56BF3764"/>
    <w:multiLevelType w:val="hybridMultilevel"/>
    <w:tmpl w:val="946210C2"/>
    <w:lvl w:ilvl="0" w:tplc="A62EE184">
      <w:start w:val="1"/>
      <w:numFmt w:val="chineseCountingThousand"/>
      <w:lvlText w:val="（%1）"/>
      <w:lvlJc w:val="left"/>
      <w:pPr>
        <w:tabs>
          <w:tab w:val="num" w:pos="841"/>
        </w:tabs>
        <w:ind w:firstLine="600"/>
      </w:pPr>
      <w:rPr>
        <w:rFonts w:cs="Times New Roman" w:hint="default"/>
      </w:rPr>
    </w:lvl>
    <w:lvl w:ilvl="1" w:tplc="04090019">
      <w:start w:val="1"/>
      <w:numFmt w:val="lowerLetter"/>
      <w:lvlText w:val="%2)"/>
      <w:lvlJc w:val="left"/>
      <w:pPr>
        <w:tabs>
          <w:tab w:val="num" w:pos="1680"/>
        </w:tabs>
        <w:ind w:left="1680" w:hanging="420"/>
      </w:pPr>
      <w:rPr>
        <w:rFonts w:cs="Times New Roman"/>
      </w:rPr>
    </w:lvl>
    <w:lvl w:ilvl="2" w:tplc="0409001B">
      <w:start w:val="1"/>
      <w:numFmt w:val="lowerRoman"/>
      <w:lvlText w:val="%3."/>
      <w:lvlJc w:val="righ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9">
      <w:start w:val="1"/>
      <w:numFmt w:val="lowerLetter"/>
      <w:lvlText w:val="%5)"/>
      <w:lvlJc w:val="left"/>
      <w:pPr>
        <w:tabs>
          <w:tab w:val="num" w:pos="2940"/>
        </w:tabs>
        <w:ind w:left="2940" w:hanging="420"/>
      </w:pPr>
      <w:rPr>
        <w:rFonts w:cs="Times New Roman"/>
      </w:rPr>
    </w:lvl>
    <w:lvl w:ilvl="5" w:tplc="0409001B">
      <w:start w:val="1"/>
      <w:numFmt w:val="lowerRoman"/>
      <w:lvlText w:val="%6."/>
      <w:lvlJc w:val="righ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9">
      <w:start w:val="1"/>
      <w:numFmt w:val="lowerLetter"/>
      <w:lvlText w:val="%8)"/>
      <w:lvlJc w:val="left"/>
      <w:pPr>
        <w:tabs>
          <w:tab w:val="num" w:pos="4200"/>
        </w:tabs>
        <w:ind w:left="4200" w:hanging="420"/>
      </w:pPr>
      <w:rPr>
        <w:rFonts w:cs="Times New Roman"/>
      </w:rPr>
    </w:lvl>
    <w:lvl w:ilvl="8" w:tplc="0409001B">
      <w:start w:val="1"/>
      <w:numFmt w:val="lowerRoman"/>
      <w:lvlText w:val="%9."/>
      <w:lvlJc w:val="right"/>
      <w:pPr>
        <w:tabs>
          <w:tab w:val="num" w:pos="4620"/>
        </w:tabs>
        <w:ind w:left="4620" w:hanging="420"/>
      </w:pPr>
      <w:rPr>
        <w:rFonts w:cs="Times New Roman"/>
      </w:rPr>
    </w:lvl>
  </w:abstractNum>
  <w:abstractNum w:abstractNumId="21">
    <w:nsid w:val="59B30213"/>
    <w:multiLevelType w:val="hybridMultilevel"/>
    <w:tmpl w:val="C6844A1C"/>
    <w:lvl w:ilvl="0" w:tplc="71DED254">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2">
    <w:nsid w:val="5C4E6190"/>
    <w:multiLevelType w:val="hybridMultilevel"/>
    <w:tmpl w:val="9C40CF8E"/>
    <w:lvl w:ilvl="0" w:tplc="ACD4BF18">
      <w:start w:val="1"/>
      <w:numFmt w:val="japaneseCounting"/>
      <w:lvlText w:val="第%1章"/>
      <w:lvlJc w:val="left"/>
      <w:pPr>
        <w:tabs>
          <w:tab w:val="num" w:pos="1800"/>
        </w:tabs>
        <w:ind w:left="1800" w:hanging="12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3">
    <w:nsid w:val="62B6270F"/>
    <w:multiLevelType w:val="hybridMultilevel"/>
    <w:tmpl w:val="EF16B0B6"/>
    <w:lvl w:ilvl="0" w:tplc="12466654">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4">
    <w:nsid w:val="6D5C2FFE"/>
    <w:multiLevelType w:val="hybridMultilevel"/>
    <w:tmpl w:val="FF6ED9E8"/>
    <w:lvl w:ilvl="0" w:tplc="7F8A33B4">
      <w:start w:val="1"/>
      <w:numFmt w:val="japaneseCounting"/>
      <w:lvlText w:val="第%1节"/>
      <w:lvlJc w:val="left"/>
      <w:pPr>
        <w:ind w:left="3840" w:hanging="1080"/>
      </w:pPr>
      <w:rPr>
        <w:rFonts w:cs="Times New Roman" w:hint="default"/>
      </w:rPr>
    </w:lvl>
    <w:lvl w:ilvl="1" w:tplc="04090019">
      <w:start w:val="1"/>
      <w:numFmt w:val="lowerLetter"/>
      <w:lvlText w:val="%2)"/>
      <w:lvlJc w:val="left"/>
      <w:pPr>
        <w:ind w:left="3600" w:hanging="420"/>
      </w:pPr>
      <w:rPr>
        <w:rFonts w:cs="Times New Roman"/>
      </w:rPr>
    </w:lvl>
    <w:lvl w:ilvl="2" w:tplc="0409001B">
      <w:start w:val="1"/>
      <w:numFmt w:val="lowerRoman"/>
      <w:lvlText w:val="%3."/>
      <w:lvlJc w:val="right"/>
      <w:pPr>
        <w:ind w:left="4020" w:hanging="420"/>
      </w:pPr>
      <w:rPr>
        <w:rFonts w:cs="Times New Roman"/>
      </w:rPr>
    </w:lvl>
    <w:lvl w:ilvl="3" w:tplc="0409000F">
      <w:start w:val="1"/>
      <w:numFmt w:val="decimal"/>
      <w:lvlText w:val="%4."/>
      <w:lvlJc w:val="left"/>
      <w:pPr>
        <w:ind w:left="4440" w:hanging="420"/>
      </w:pPr>
      <w:rPr>
        <w:rFonts w:cs="Times New Roman"/>
      </w:rPr>
    </w:lvl>
    <w:lvl w:ilvl="4" w:tplc="04090019">
      <w:start w:val="1"/>
      <w:numFmt w:val="lowerLetter"/>
      <w:lvlText w:val="%5)"/>
      <w:lvlJc w:val="left"/>
      <w:pPr>
        <w:ind w:left="4860" w:hanging="420"/>
      </w:pPr>
      <w:rPr>
        <w:rFonts w:cs="Times New Roman"/>
      </w:rPr>
    </w:lvl>
    <w:lvl w:ilvl="5" w:tplc="0409001B">
      <w:start w:val="1"/>
      <w:numFmt w:val="lowerRoman"/>
      <w:lvlText w:val="%6."/>
      <w:lvlJc w:val="right"/>
      <w:pPr>
        <w:ind w:left="5280" w:hanging="420"/>
      </w:pPr>
      <w:rPr>
        <w:rFonts w:cs="Times New Roman"/>
      </w:rPr>
    </w:lvl>
    <w:lvl w:ilvl="6" w:tplc="0409000F">
      <w:start w:val="1"/>
      <w:numFmt w:val="decimal"/>
      <w:lvlText w:val="%7."/>
      <w:lvlJc w:val="left"/>
      <w:pPr>
        <w:ind w:left="5700" w:hanging="420"/>
      </w:pPr>
      <w:rPr>
        <w:rFonts w:cs="Times New Roman"/>
      </w:rPr>
    </w:lvl>
    <w:lvl w:ilvl="7" w:tplc="04090019">
      <w:start w:val="1"/>
      <w:numFmt w:val="lowerLetter"/>
      <w:lvlText w:val="%8)"/>
      <w:lvlJc w:val="left"/>
      <w:pPr>
        <w:ind w:left="6120" w:hanging="420"/>
      </w:pPr>
      <w:rPr>
        <w:rFonts w:cs="Times New Roman"/>
      </w:rPr>
    </w:lvl>
    <w:lvl w:ilvl="8" w:tplc="0409001B">
      <w:start w:val="1"/>
      <w:numFmt w:val="lowerRoman"/>
      <w:lvlText w:val="%9."/>
      <w:lvlJc w:val="right"/>
      <w:pPr>
        <w:ind w:left="6540" w:hanging="420"/>
      </w:pPr>
      <w:rPr>
        <w:rFonts w:cs="Times New Roman"/>
      </w:rPr>
    </w:lvl>
  </w:abstractNum>
  <w:abstractNum w:abstractNumId="25">
    <w:nsid w:val="73A7253F"/>
    <w:multiLevelType w:val="hybridMultilevel"/>
    <w:tmpl w:val="06321B46"/>
    <w:lvl w:ilvl="0" w:tplc="18DCF60E">
      <w:start w:val="1"/>
      <w:numFmt w:val="japaneseCounting"/>
      <w:lvlText w:val="（%1）"/>
      <w:lvlJc w:val="left"/>
      <w:pPr>
        <w:ind w:left="2250" w:hanging="165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577169D"/>
    <w:multiLevelType w:val="hybridMultilevel"/>
    <w:tmpl w:val="3A543000"/>
    <w:lvl w:ilvl="0" w:tplc="BE2C3944">
      <w:start w:val="1"/>
      <w:numFmt w:val="chineseCountingThousand"/>
      <w:lvlText w:val="第%1章"/>
      <w:lvlJc w:val="left"/>
      <w:pPr>
        <w:ind w:firstLine="60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7">
    <w:nsid w:val="76E043A4"/>
    <w:multiLevelType w:val="hybridMultilevel"/>
    <w:tmpl w:val="C50E65E8"/>
    <w:lvl w:ilvl="0" w:tplc="E556A85A">
      <w:start w:val="1"/>
      <w:numFmt w:val="chineseCountingThousand"/>
      <w:lvlText w:val="第%1章"/>
      <w:lvlJc w:val="left"/>
      <w:pPr>
        <w:tabs>
          <w:tab w:val="num" w:pos="601"/>
        </w:tabs>
        <w:ind w:firstLine="600"/>
      </w:pPr>
      <w:rPr>
        <w:rFonts w:cs="Times New Roman" w:hint="default"/>
      </w:rPr>
    </w:lvl>
    <w:lvl w:ilvl="1" w:tplc="EF32ED06">
      <w:start w:val="1"/>
      <w:numFmt w:val="japaneseCounting"/>
      <w:lvlText w:val="（%2）"/>
      <w:lvlJc w:val="left"/>
      <w:pPr>
        <w:tabs>
          <w:tab w:val="num" w:pos="1021"/>
        </w:tabs>
        <w:ind w:left="851" w:firstLine="169"/>
      </w:pPr>
      <w:rPr>
        <w:rFonts w:ascii="仿宋_GB2312" w:eastAsia="仿宋_GB2312" w:hAnsi="Times New Roman" w:cs="Times New Roman" w:hint="eastAsia"/>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8">
    <w:nsid w:val="773875EC"/>
    <w:multiLevelType w:val="hybridMultilevel"/>
    <w:tmpl w:val="B060CE7E"/>
    <w:lvl w:ilvl="0" w:tplc="D14E128E">
      <w:start w:val="1"/>
      <w:numFmt w:val="chineseCountingThousand"/>
      <w:lvlText w:val="（%1）"/>
      <w:lvlJc w:val="left"/>
      <w:pPr>
        <w:tabs>
          <w:tab w:val="num" w:pos="961"/>
        </w:tabs>
        <w:ind w:firstLine="600"/>
      </w:pPr>
      <w:rPr>
        <w:rFonts w:cs="Times New Roman" w:hint="default"/>
      </w:rPr>
    </w:lvl>
    <w:lvl w:ilvl="1" w:tplc="04090019">
      <w:start w:val="1"/>
      <w:numFmt w:val="lowerLetter"/>
      <w:lvlText w:val="%2)"/>
      <w:lvlJc w:val="left"/>
      <w:pPr>
        <w:tabs>
          <w:tab w:val="num" w:pos="1549"/>
        </w:tabs>
        <w:ind w:left="1549" w:hanging="420"/>
      </w:pPr>
      <w:rPr>
        <w:rFonts w:cs="Times New Roman"/>
      </w:rPr>
    </w:lvl>
    <w:lvl w:ilvl="2" w:tplc="0409001B">
      <w:start w:val="1"/>
      <w:numFmt w:val="lowerRoman"/>
      <w:lvlText w:val="%3."/>
      <w:lvlJc w:val="right"/>
      <w:pPr>
        <w:tabs>
          <w:tab w:val="num" w:pos="1969"/>
        </w:tabs>
        <w:ind w:left="1969" w:hanging="420"/>
      </w:pPr>
      <w:rPr>
        <w:rFonts w:cs="Times New Roman"/>
      </w:rPr>
    </w:lvl>
    <w:lvl w:ilvl="3" w:tplc="0409000F">
      <w:start w:val="1"/>
      <w:numFmt w:val="decimal"/>
      <w:lvlText w:val="%4."/>
      <w:lvlJc w:val="left"/>
      <w:pPr>
        <w:tabs>
          <w:tab w:val="num" w:pos="2389"/>
        </w:tabs>
        <w:ind w:left="2389" w:hanging="420"/>
      </w:pPr>
      <w:rPr>
        <w:rFonts w:cs="Times New Roman"/>
      </w:rPr>
    </w:lvl>
    <w:lvl w:ilvl="4" w:tplc="04090019">
      <w:start w:val="1"/>
      <w:numFmt w:val="lowerLetter"/>
      <w:lvlText w:val="%5)"/>
      <w:lvlJc w:val="left"/>
      <w:pPr>
        <w:tabs>
          <w:tab w:val="num" w:pos="2809"/>
        </w:tabs>
        <w:ind w:left="2809" w:hanging="420"/>
      </w:pPr>
      <w:rPr>
        <w:rFonts w:cs="Times New Roman"/>
      </w:rPr>
    </w:lvl>
    <w:lvl w:ilvl="5" w:tplc="0409001B">
      <w:start w:val="1"/>
      <w:numFmt w:val="lowerRoman"/>
      <w:lvlText w:val="%6."/>
      <w:lvlJc w:val="right"/>
      <w:pPr>
        <w:tabs>
          <w:tab w:val="num" w:pos="3229"/>
        </w:tabs>
        <w:ind w:left="3229" w:hanging="420"/>
      </w:pPr>
      <w:rPr>
        <w:rFonts w:cs="Times New Roman"/>
      </w:rPr>
    </w:lvl>
    <w:lvl w:ilvl="6" w:tplc="0409000F">
      <w:start w:val="1"/>
      <w:numFmt w:val="decimal"/>
      <w:lvlText w:val="%7."/>
      <w:lvlJc w:val="left"/>
      <w:pPr>
        <w:tabs>
          <w:tab w:val="num" w:pos="3649"/>
        </w:tabs>
        <w:ind w:left="3649" w:hanging="420"/>
      </w:pPr>
      <w:rPr>
        <w:rFonts w:cs="Times New Roman"/>
      </w:rPr>
    </w:lvl>
    <w:lvl w:ilvl="7" w:tplc="04090019">
      <w:start w:val="1"/>
      <w:numFmt w:val="lowerLetter"/>
      <w:lvlText w:val="%8)"/>
      <w:lvlJc w:val="left"/>
      <w:pPr>
        <w:tabs>
          <w:tab w:val="num" w:pos="4069"/>
        </w:tabs>
        <w:ind w:left="4069" w:hanging="420"/>
      </w:pPr>
      <w:rPr>
        <w:rFonts w:cs="Times New Roman"/>
      </w:rPr>
    </w:lvl>
    <w:lvl w:ilvl="8" w:tplc="0409001B">
      <w:start w:val="1"/>
      <w:numFmt w:val="lowerRoman"/>
      <w:lvlText w:val="%9."/>
      <w:lvlJc w:val="right"/>
      <w:pPr>
        <w:tabs>
          <w:tab w:val="num" w:pos="4489"/>
        </w:tabs>
        <w:ind w:left="4489" w:hanging="420"/>
      </w:pPr>
      <w:rPr>
        <w:rFonts w:cs="Times New Roman"/>
      </w:rPr>
    </w:lvl>
  </w:abstractNum>
  <w:abstractNum w:abstractNumId="29">
    <w:nsid w:val="78900CDF"/>
    <w:multiLevelType w:val="hybridMultilevel"/>
    <w:tmpl w:val="D12AD4AE"/>
    <w:lvl w:ilvl="0" w:tplc="EAD6A820">
      <w:start w:val="1"/>
      <w:numFmt w:val="chineseCountingThousand"/>
      <w:lvlText w:val="第%1节"/>
      <w:lvlJc w:val="left"/>
      <w:pPr>
        <w:tabs>
          <w:tab w:val="num" w:pos="1800"/>
        </w:tabs>
        <w:ind w:left="1800" w:hanging="120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0">
    <w:nsid w:val="7AB837E8"/>
    <w:multiLevelType w:val="hybridMultilevel"/>
    <w:tmpl w:val="CD8626C4"/>
    <w:lvl w:ilvl="0" w:tplc="B770EE36">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31">
    <w:nsid w:val="7D7F5507"/>
    <w:multiLevelType w:val="hybridMultilevel"/>
    <w:tmpl w:val="17347950"/>
    <w:lvl w:ilvl="0" w:tplc="22CE96F4">
      <w:start w:val="1"/>
      <w:numFmt w:val="chineseCountingThousand"/>
      <w:lvlText w:val="（%1）"/>
      <w:lvlJc w:val="left"/>
      <w:pPr>
        <w:tabs>
          <w:tab w:val="num" w:pos="601"/>
        </w:tabs>
        <w:ind w:firstLine="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num w:numId="1">
    <w:abstractNumId w:val="27"/>
  </w:num>
  <w:num w:numId="2">
    <w:abstractNumId w:val="5"/>
  </w:num>
  <w:num w:numId="3">
    <w:abstractNumId w:val="20"/>
  </w:num>
  <w:num w:numId="4">
    <w:abstractNumId w:val="31"/>
  </w:num>
  <w:num w:numId="5">
    <w:abstractNumId w:val="9"/>
  </w:num>
  <w:num w:numId="6">
    <w:abstractNumId w:val="2"/>
  </w:num>
  <w:num w:numId="7">
    <w:abstractNumId w:val="6"/>
  </w:num>
  <w:num w:numId="8">
    <w:abstractNumId w:val="11"/>
  </w:num>
  <w:num w:numId="9">
    <w:abstractNumId w:val="0"/>
  </w:num>
  <w:num w:numId="10">
    <w:abstractNumId w:val="3"/>
  </w:num>
  <w:num w:numId="11">
    <w:abstractNumId w:val="10"/>
  </w:num>
  <w:num w:numId="12">
    <w:abstractNumId w:val="19"/>
  </w:num>
  <w:num w:numId="13">
    <w:abstractNumId w:val="16"/>
  </w:num>
  <w:num w:numId="14">
    <w:abstractNumId w:val="7"/>
  </w:num>
  <w:num w:numId="15">
    <w:abstractNumId w:val="24"/>
  </w:num>
  <w:num w:numId="16">
    <w:abstractNumId w:val="14"/>
  </w:num>
  <w:num w:numId="17">
    <w:abstractNumId w:val="26"/>
  </w:num>
  <w:num w:numId="18">
    <w:abstractNumId w:val="18"/>
  </w:num>
  <w:num w:numId="19">
    <w:abstractNumId w:val="8"/>
  </w:num>
  <w:num w:numId="20">
    <w:abstractNumId w:val="12"/>
  </w:num>
  <w:num w:numId="21">
    <w:abstractNumId w:val="1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13"/>
  </w:num>
  <w:num w:numId="26">
    <w:abstractNumId w:val="30"/>
  </w:num>
  <w:num w:numId="27">
    <w:abstractNumId w:val="23"/>
  </w:num>
  <w:num w:numId="28">
    <w:abstractNumId w:val="29"/>
  </w:num>
  <w:num w:numId="29">
    <w:abstractNumId w:val="17"/>
  </w:num>
  <w:num w:numId="30">
    <w:abstractNumId w:val="21"/>
  </w:num>
  <w:num w:numId="31">
    <w:abstractNumId w:val="4"/>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8C0"/>
    <w:rsid w:val="00005FD9"/>
    <w:rsid w:val="000216FE"/>
    <w:rsid w:val="00024D26"/>
    <w:rsid w:val="0011112D"/>
    <w:rsid w:val="001761B5"/>
    <w:rsid w:val="001C38CB"/>
    <w:rsid w:val="001D27DC"/>
    <w:rsid w:val="001D4CB7"/>
    <w:rsid w:val="001F5380"/>
    <w:rsid w:val="002163C7"/>
    <w:rsid w:val="0021787D"/>
    <w:rsid w:val="00221C97"/>
    <w:rsid w:val="00265F85"/>
    <w:rsid w:val="00290F26"/>
    <w:rsid w:val="002E48C0"/>
    <w:rsid w:val="003156D2"/>
    <w:rsid w:val="003527E0"/>
    <w:rsid w:val="00362EFB"/>
    <w:rsid w:val="00364ECF"/>
    <w:rsid w:val="003B3699"/>
    <w:rsid w:val="003D6994"/>
    <w:rsid w:val="003E40B8"/>
    <w:rsid w:val="0041562F"/>
    <w:rsid w:val="00467B26"/>
    <w:rsid w:val="00490271"/>
    <w:rsid w:val="00526908"/>
    <w:rsid w:val="00572F6E"/>
    <w:rsid w:val="0059179A"/>
    <w:rsid w:val="005937F2"/>
    <w:rsid w:val="00595AD9"/>
    <w:rsid w:val="005A0CC6"/>
    <w:rsid w:val="005D069D"/>
    <w:rsid w:val="005D0742"/>
    <w:rsid w:val="005D2625"/>
    <w:rsid w:val="005D7A0D"/>
    <w:rsid w:val="006426A6"/>
    <w:rsid w:val="006742F8"/>
    <w:rsid w:val="00685D43"/>
    <w:rsid w:val="006913CA"/>
    <w:rsid w:val="00693F6B"/>
    <w:rsid w:val="006A6A77"/>
    <w:rsid w:val="00723619"/>
    <w:rsid w:val="007248C3"/>
    <w:rsid w:val="007255A1"/>
    <w:rsid w:val="00733E3C"/>
    <w:rsid w:val="0073504E"/>
    <w:rsid w:val="00761A8C"/>
    <w:rsid w:val="007628C8"/>
    <w:rsid w:val="0079050B"/>
    <w:rsid w:val="00795A45"/>
    <w:rsid w:val="00797973"/>
    <w:rsid w:val="007F4120"/>
    <w:rsid w:val="00804CC1"/>
    <w:rsid w:val="00825293"/>
    <w:rsid w:val="008379E5"/>
    <w:rsid w:val="00855896"/>
    <w:rsid w:val="008658C0"/>
    <w:rsid w:val="00885429"/>
    <w:rsid w:val="008D566D"/>
    <w:rsid w:val="008D65FB"/>
    <w:rsid w:val="008E7C4F"/>
    <w:rsid w:val="00902819"/>
    <w:rsid w:val="00906C91"/>
    <w:rsid w:val="00920B59"/>
    <w:rsid w:val="00942679"/>
    <w:rsid w:val="00942A16"/>
    <w:rsid w:val="00945489"/>
    <w:rsid w:val="00A2704E"/>
    <w:rsid w:val="00A40C3F"/>
    <w:rsid w:val="00A7234D"/>
    <w:rsid w:val="00A95423"/>
    <w:rsid w:val="00AB37BD"/>
    <w:rsid w:val="00B122E6"/>
    <w:rsid w:val="00B330A2"/>
    <w:rsid w:val="00B51DFA"/>
    <w:rsid w:val="00C04D19"/>
    <w:rsid w:val="00C16516"/>
    <w:rsid w:val="00C75D09"/>
    <w:rsid w:val="00CE2FB6"/>
    <w:rsid w:val="00D16B22"/>
    <w:rsid w:val="00D2462C"/>
    <w:rsid w:val="00D31B9A"/>
    <w:rsid w:val="00D628DA"/>
    <w:rsid w:val="00D738DB"/>
    <w:rsid w:val="00D8302F"/>
    <w:rsid w:val="00D85136"/>
    <w:rsid w:val="00D85964"/>
    <w:rsid w:val="00DB4D7B"/>
    <w:rsid w:val="00DF0ADF"/>
    <w:rsid w:val="00E31899"/>
    <w:rsid w:val="00E36496"/>
    <w:rsid w:val="00E36BA8"/>
    <w:rsid w:val="00E428E6"/>
    <w:rsid w:val="00E44FC4"/>
    <w:rsid w:val="00E529E4"/>
    <w:rsid w:val="00E93243"/>
    <w:rsid w:val="00ED6F60"/>
    <w:rsid w:val="00EF0AD5"/>
    <w:rsid w:val="00F503C9"/>
    <w:rsid w:val="00FA2072"/>
    <w:rsid w:val="00FB4B69"/>
    <w:rsid w:val="00FB671B"/>
    <w:rsid w:val="00FE49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8C0"/>
    <w:pPr>
      <w:widowControl w:val="0"/>
      <w:jc w:val="both"/>
    </w:pPr>
    <w:rPr>
      <w:kern w:val="2"/>
      <w:sz w:val="21"/>
      <w:szCs w:val="24"/>
    </w:rPr>
  </w:style>
  <w:style w:type="paragraph" w:styleId="1">
    <w:name w:val="heading 1"/>
    <w:basedOn w:val="a"/>
    <w:next w:val="a"/>
    <w:link w:val="1Char"/>
    <w:qFormat/>
    <w:rsid w:val="00595AD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95AD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E48C0"/>
    <w:pPr>
      <w:tabs>
        <w:tab w:val="center" w:pos="4153"/>
        <w:tab w:val="right" w:pos="8306"/>
      </w:tabs>
      <w:snapToGrid w:val="0"/>
      <w:jc w:val="left"/>
    </w:pPr>
    <w:rPr>
      <w:sz w:val="18"/>
      <w:szCs w:val="18"/>
    </w:rPr>
  </w:style>
  <w:style w:type="character" w:styleId="a4">
    <w:name w:val="page number"/>
    <w:basedOn w:val="a0"/>
    <w:rsid w:val="002E48C0"/>
  </w:style>
  <w:style w:type="paragraph" w:customStyle="1" w:styleId="Char0">
    <w:name w:val="Char"/>
    <w:basedOn w:val="a5"/>
    <w:autoRedefine/>
    <w:rsid w:val="002E48C0"/>
    <w:rPr>
      <w:rFonts w:ascii="Tahoma" w:hAnsi="Tahoma"/>
      <w:sz w:val="24"/>
    </w:rPr>
  </w:style>
  <w:style w:type="paragraph" w:styleId="a6">
    <w:name w:val="List Paragraph"/>
    <w:basedOn w:val="a"/>
    <w:uiPriority w:val="34"/>
    <w:qFormat/>
    <w:rsid w:val="002E48C0"/>
    <w:pPr>
      <w:ind w:firstLineChars="200" w:firstLine="420"/>
    </w:pPr>
    <w:rPr>
      <w:rFonts w:ascii="Calibri" w:hAnsi="Calibri"/>
      <w:szCs w:val="22"/>
    </w:rPr>
  </w:style>
  <w:style w:type="paragraph" w:styleId="a5">
    <w:name w:val="Document Map"/>
    <w:basedOn w:val="a"/>
    <w:semiHidden/>
    <w:rsid w:val="002E48C0"/>
    <w:pPr>
      <w:shd w:val="clear" w:color="auto" w:fill="000080"/>
    </w:pPr>
  </w:style>
  <w:style w:type="paragraph" w:styleId="a7">
    <w:name w:val="Balloon Text"/>
    <w:basedOn w:val="a"/>
    <w:semiHidden/>
    <w:rsid w:val="008658C0"/>
    <w:rPr>
      <w:sz w:val="18"/>
      <w:szCs w:val="18"/>
    </w:rPr>
  </w:style>
  <w:style w:type="paragraph" w:styleId="a8">
    <w:name w:val="header"/>
    <w:basedOn w:val="a"/>
    <w:link w:val="Char1"/>
    <w:rsid w:val="00E36BA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locked/>
    <w:rsid w:val="00595AD9"/>
    <w:rPr>
      <w:rFonts w:eastAsia="宋体"/>
      <w:kern w:val="2"/>
      <w:sz w:val="18"/>
      <w:szCs w:val="18"/>
      <w:lang w:val="en-US" w:eastAsia="zh-CN" w:bidi="ar-SA"/>
    </w:rPr>
  </w:style>
  <w:style w:type="character" w:customStyle="1" w:styleId="Char">
    <w:name w:val="页脚 Char"/>
    <w:basedOn w:val="a0"/>
    <w:link w:val="a3"/>
    <w:locked/>
    <w:rsid w:val="00595AD9"/>
    <w:rPr>
      <w:rFonts w:eastAsia="宋体"/>
      <w:kern w:val="2"/>
      <w:sz w:val="18"/>
      <w:szCs w:val="18"/>
      <w:lang w:val="en-US" w:eastAsia="zh-CN" w:bidi="ar-SA"/>
    </w:rPr>
  </w:style>
  <w:style w:type="character" w:customStyle="1" w:styleId="1Char">
    <w:name w:val="标题 1 Char"/>
    <w:basedOn w:val="a0"/>
    <w:link w:val="1"/>
    <w:locked/>
    <w:rsid w:val="00595AD9"/>
    <w:rPr>
      <w:rFonts w:eastAsia="宋体"/>
      <w:b/>
      <w:bCs/>
      <w:kern w:val="44"/>
      <w:sz w:val="44"/>
      <w:szCs w:val="44"/>
      <w:lang w:val="en-US" w:eastAsia="zh-CN" w:bidi="ar-SA"/>
    </w:rPr>
  </w:style>
  <w:style w:type="character" w:customStyle="1" w:styleId="2Char">
    <w:name w:val="标题 2 Char"/>
    <w:basedOn w:val="a0"/>
    <w:link w:val="2"/>
    <w:locked/>
    <w:rsid w:val="00595AD9"/>
    <w:rPr>
      <w:rFonts w:ascii="Arial" w:eastAsia="黑体" w:hAnsi="Arial"/>
      <w:b/>
      <w:bCs/>
      <w:kern w:val="2"/>
      <w:sz w:val="32"/>
      <w:szCs w:val="32"/>
      <w:lang w:val="en-US" w:eastAsia="zh-CN" w:bidi="ar-SA"/>
    </w:rPr>
  </w:style>
  <w:style w:type="paragraph" w:customStyle="1" w:styleId="161">
    <w:name w:val="161"/>
    <w:basedOn w:val="a"/>
    <w:rsid w:val="00595AD9"/>
    <w:pPr>
      <w:widowControl/>
      <w:wordWrap w:val="0"/>
      <w:spacing w:before="100" w:beforeAutospacing="1" w:after="100" w:afterAutospacing="1"/>
      <w:jc w:val="left"/>
    </w:pPr>
    <w:rPr>
      <w:rFonts w:ascii="楷体" w:eastAsia="楷体" w:hAnsi="宋体" w:cs="宋体"/>
      <w:kern w:val="0"/>
      <w:sz w:val="24"/>
    </w:rPr>
  </w:style>
  <w:style w:type="paragraph" w:customStyle="1" w:styleId="10">
    <w:name w:val="列出段落1"/>
    <w:basedOn w:val="a"/>
    <w:rsid w:val="00595AD9"/>
    <w:pPr>
      <w:ind w:firstLineChars="200" w:firstLine="420"/>
    </w:pPr>
    <w:rPr>
      <w:rFonts w:ascii="Calibri" w:hAnsi="Calibri"/>
      <w:szCs w:val="22"/>
    </w:rPr>
  </w:style>
  <w:style w:type="paragraph" w:styleId="a9">
    <w:name w:val="Normal (Web)"/>
    <w:basedOn w:val="a"/>
    <w:rsid w:val="00595AD9"/>
    <w:pPr>
      <w:widowControl/>
      <w:spacing w:before="100" w:beforeAutospacing="1" w:after="100" w:afterAutospacing="1" w:line="540" w:lineRule="exact"/>
      <w:ind w:firstLineChars="200" w:firstLine="600"/>
      <w:jc w:val="left"/>
    </w:pPr>
    <w:rPr>
      <w:rFonts w:ascii="宋体" w:eastAsia="仿宋_GB2312" w:hAnsi="宋体" w:cs="宋体"/>
      <w:color w:val="000000"/>
      <w:kern w:val="0"/>
      <w:sz w:val="24"/>
      <w:u w:val="single"/>
    </w:rPr>
  </w:style>
  <w:style w:type="character" w:styleId="aa">
    <w:name w:val="Emphasis"/>
    <w:basedOn w:val="a0"/>
    <w:qFormat/>
    <w:rsid w:val="00595AD9"/>
    <w:rPr>
      <w:rFonts w:cs="Times New Roman"/>
      <w:i/>
      <w:iCs/>
    </w:rPr>
  </w:style>
</w:styles>
</file>

<file path=word/webSettings.xml><?xml version="1.0" encoding="utf-8"?>
<w:webSettings xmlns:r="http://schemas.openxmlformats.org/officeDocument/2006/relationships" xmlns:w="http://schemas.openxmlformats.org/wordprocessingml/2006/main">
  <w:divs>
    <w:div w:id="368147695">
      <w:bodyDiv w:val="1"/>
      <w:marLeft w:val="0"/>
      <w:marRight w:val="0"/>
      <w:marTop w:val="0"/>
      <w:marBottom w:val="0"/>
      <w:divBdr>
        <w:top w:val="none" w:sz="0" w:space="0" w:color="auto"/>
        <w:left w:val="none" w:sz="0" w:space="0" w:color="auto"/>
        <w:bottom w:val="none" w:sz="0" w:space="0" w:color="auto"/>
        <w:right w:val="none" w:sz="0" w:space="0" w:color="auto"/>
      </w:divBdr>
    </w:div>
    <w:div w:id="541863328">
      <w:bodyDiv w:val="1"/>
      <w:marLeft w:val="0"/>
      <w:marRight w:val="0"/>
      <w:marTop w:val="0"/>
      <w:marBottom w:val="0"/>
      <w:divBdr>
        <w:top w:val="none" w:sz="0" w:space="0" w:color="auto"/>
        <w:left w:val="none" w:sz="0" w:space="0" w:color="auto"/>
        <w:bottom w:val="none" w:sz="0" w:space="0" w:color="auto"/>
        <w:right w:val="none" w:sz="0" w:space="0" w:color="auto"/>
      </w:divBdr>
    </w:div>
    <w:div w:id="970982812">
      <w:bodyDiv w:val="1"/>
      <w:marLeft w:val="0"/>
      <w:marRight w:val="0"/>
      <w:marTop w:val="0"/>
      <w:marBottom w:val="0"/>
      <w:divBdr>
        <w:top w:val="none" w:sz="0" w:space="0" w:color="auto"/>
        <w:left w:val="none" w:sz="0" w:space="0" w:color="auto"/>
        <w:bottom w:val="none" w:sz="0" w:space="0" w:color="auto"/>
        <w:right w:val="none" w:sz="0" w:space="0" w:color="auto"/>
      </w:divBdr>
    </w:div>
    <w:div w:id="12062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22C84-C197-4DF4-9A3B-F8D634F8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674</Words>
  <Characters>3847</Characters>
  <Application>Microsoft Office Word</Application>
  <DocSecurity>0</DocSecurity>
  <Lines>32</Lines>
  <Paragraphs>9</Paragraphs>
  <ScaleCrop>false</ScaleCrop>
  <Company>Microsoft</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大商所发〔2011〕号</dc:title>
  <dc:creator>史晓昕</dc:creator>
  <cp:lastModifiedBy>lenovo</cp:lastModifiedBy>
  <cp:revision>13</cp:revision>
  <cp:lastPrinted>2011-09-15T07:30:00Z</cp:lastPrinted>
  <dcterms:created xsi:type="dcterms:W3CDTF">2014-11-18T02:12:00Z</dcterms:created>
  <dcterms:modified xsi:type="dcterms:W3CDTF">2017-01-12T06:53:00Z</dcterms:modified>
</cp:coreProperties>
</file>